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A9" w:rsidRDefault="001A61A9" w:rsidP="001A61A9">
      <w:pPr>
        <w:pStyle w:val="NormalWeb"/>
        <w:shd w:val="clear" w:color="auto" w:fill="FFFFFF"/>
        <w:spacing w:before="0" w:beforeAutospacing="0" w:after="0" w:afterAutospacing="0"/>
        <w:ind w:firstLine="567"/>
        <w:jc w:val="center"/>
        <w:rPr>
          <w:b/>
          <w:caps/>
          <w:spacing w:val="-10"/>
          <w:sz w:val="28"/>
          <w:szCs w:val="28"/>
        </w:rPr>
      </w:pPr>
      <w:r w:rsidRPr="001A61A9">
        <w:rPr>
          <w:b/>
          <w:color w:val="000000" w:themeColor="text1"/>
          <w:sz w:val="28"/>
          <w:szCs w:val="28"/>
        </w:rPr>
        <w:t xml:space="preserve">MỘT SỐ NỘI DUNG QUAN TRỌNG CỦA 10 </w:t>
      </w:r>
      <w:r w:rsidRPr="001A61A9">
        <w:rPr>
          <w:b/>
          <w:caps/>
          <w:spacing w:val="-10"/>
          <w:sz w:val="28"/>
          <w:szCs w:val="28"/>
        </w:rPr>
        <w:t>luật</w:t>
      </w:r>
    </w:p>
    <w:p w:rsidR="001A61A9" w:rsidRDefault="001A61A9" w:rsidP="001A61A9">
      <w:pPr>
        <w:pStyle w:val="NormalWeb"/>
        <w:shd w:val="clear" w:color="auto" w:fill="FFFFFF"/>
        <w:spacing w:before="0" w:beforeAutospacing="0" w:after="0" w:afterAutospacing="0"/>
        <w:ind w:firstLine="567"/>
        <w:jc w:val="center"/>
        <w:rPr>
          <w:b/>
          <w:caps/>
          <w:spacing w:val="-10"/>
          <w:sz w:val="28"/>
          <w:szCs w:val="28"/>
        </w:rPr>
      </w:pPr>
      <w:r w:rsidRPr="001A61A9">
        <w:rPr>
          <w:b/>
          <w:caps/>
          <w:spacing w:val="-10"/>
          <w:sz w:val="28"/>
          <w:szCs w:val="28"/>
        </w:rPr>
        <w:t xml:space="preserve"> được thông qua tại Kỳ họp thứ 9, Quốc hội khóa XIV</w:t>
      </w:r>
    </w:p>
    <w:p w:rsidR="001A61A9" w:rsidRDefault="00257D90" w:rsidP="001A61A9">
      <w:pPr>
        <w:pStyle w:val="NormalWeb"/>
        <w:shd w:val="clear" w:color="auto" w:fill="FFFFFF"/>
        <w:spacing w:before="0" w:beforeAutospacing="0" w:after="0" w:afterAutospacing="0"/>
        <w:ind w:firstLine="567"/>
        <w:jc w:val="center"/>
        <w:rPr>
          <w:i/>
          <w:color w:val="000000" w:themeColor="text1"/>
        </w:rPr>
      </w:pPr>
      <w:r w:rsidRPr="001A61A9">
        <w:rPr>
          <w:i/>
          <w:color w:val="000000" w:themeColor="text1"/>
        </w:rPr>
        <w:t>(</w:t>
      </w:r>
      <w:r w:rsidR="001A61A9" w:rsidRPr="001A61A9">
        <w:rPr>
          <w:i/>
          <w:color w:val="000000" w:themeColor="text1"/>
        </w:rPr>
        <w:t xml:space="preserve">Ban hành </w:t>
      </w:r>
      <w:r w:rsidRPr="001A61A9">
        <w:rPr>
          <w:i/>
          <w:color w:val="000000" w:themeColor="text1"/>
        </w:rPr>
        <w:t>Kèm theo Công văn</w:t>
      </w:r>
      <w:r w:rsidR="001A61A9" w:rsidRPr="001A61A9">
        <w:rPr>
          <w:i/>
          <w:color w:val="000000" w:themeColor="text1"/>
        </w:rPr>
        <w:t xml:space="preserve"> số…</w:t>
      </w:r>
      <w:r w:rsidRPr="001A61A9">
        <w:rPr>
          <w:i/>
          <w:color w:val="000000" w:themeColor="text1"/>
        </w:rPr>
        <w:t>….</w:t>
      </w:r>
      <w:r w:rsidR="001A61A9" w:rsidRPr="001A61A9">
        <w:rPr>
          <w:i/>
          <w:color w:val="000000" w:themeColor="text1"/>
        </w:rPr>
        <w:t>/STP-PBGDPL ngày   tháng 7 năm 2020</w:t>
      </w:r>
    </w:p>
    <w:p w:rsidR="00257D90" w:rsidRDefault="001A61A9" w:rsidP="001A61A9">
      <w:pPr>
        <w:pStyle w:val="NormalWeb"/>
        <w:shd w:val="clear" w:color="auto" w:fill="FFFFFF"/>
        <w:spacing w:before="0" w:beforeAutospacing="0" w:after="0" w:afterAutospacing="0"/>
        <w:ind w:firstLine="567"/>
        <w:jc w:val="center"/>
        <w:rPr>
          <w:i/>
          <w:color w:val="000000" w:themeColor="text1"/>
        </w:rPr>
      </w:pPr>
      <w:r w:rsidRPr="001A61A9">
        <w:rPr>
          <w:i/>
          <w:color w:val="000000" w:themeColor="text1"/>
        </w:rPr>
        <w:t xml:space="preserve"> của Sở Tư pháp tỉnh Lai Châu</w:t>
      </w:r>
      <w:r w:rsidR="00257D90" w:rsidRPr="001A61A9">
        <w:rPr>
          <w:i/>
          <w:color w:val="000000" w:themeColor="text1"/>
        </w:rPr>
        <w:t>)</w:t>
      </w:r>
    </w:p>
    <w:p w:rsidR="001A61A9" w:rsidRPr="001A61A9" w:rsidRDefault="001A61A9" w:rsidP="001A61A9">
      <w:pPr>
        <w:pStyle w:val="NormalWeb"/>
        <w:shd w:val="clear" w:color="auto" w:fill="FFFFFF"/>
        <w:spacing w:before="0" w:beforeAutospacing="0" w:after="0" w:afterAutospacing="0"/>
        <w:ind w:firstLine="567"/>
        <w:jc w:val="center"/>
        <w:rPr>
          <w:i/>
          <w:color w:val="000000" w:themeColor="text1"/>
        </w:rPr>
      </w:pPr>
    </w:p>
    <w:p w:rsidR="009D39CF" w:rsidRPr="002125C1" w:rsidRDefault="005C0164" w:rsidP="00B43CCB">
      <w:pPr>
        <w:pStyle w:val="NormalWeb"/>
        <w:shd w:val="clear" w:color="auto" w:fill="FFFFFF"/>
        <w:spacing w:before="0" w:beforeAutospacing="0" w:after="150" w:afterAutospacing="0"/>
        <w:ind w:firstLine="567"/>
        <w:jc w:val="both"/>
        <w:rPr>
          <w:b/>
          <w:color w:val="000000" w:themeColor="text1"/>
          <w:sz w:val="28"/>
          <w:szCs w:val="28"/>
        </w:rPr>
      </w:pPr>
      <w:hyperlink r:id="rId7" w:tgtFrame="_blank" w:history="1">
        <w:r w:rsidR="00A33F84">
          <w:rPr>
            <w:rStyle w:val="Hyperlink"/>
            <w:b/>
            <w:color w:val="000000" w:themeColor="text1"/>
            <w:sz w:val="28"/>
            <w:szCs w:val="28"/>
            <w:u w:val="none"/>
          </w:rPr>
          <w:t>I</w:t>
        </w:r>
        <w:r w:rsidR="00257D90" w:rsidRPr="002125C1">
          <w:rPr>
            <w:rStyle w:val="Hyperlink"/>
            <w:b/>
            <w:color w:val="000000" w:themeColor="text1"/>
            <w:sz w:val="28"/>
            <w:szCs w:val="28"/>
            <w:u w:val="none"/>
          </w:rPr>
          <w:t xml:space="preserve">. </w:t>
        </w:r>
      </w:hyperlink>
      <w:r w:rsidR="005A5EC5">
        <w:rPr>
          <w:rStyle w:val="Hyperlink"/>
          <w:b/>
          <w:color w:val="000000" w:themeColor="text1"/>
          <w:sz w:val="28"/>
          <w:szCs w:val="28"/>
          <w:u w:val="none"/>
        </w:rPr>
        <w:t xml:space="preserve">MỘT SỐ NỘI DUNG LUẬT HÒA GIẢI, ĐỐI THOẠI TẠI TÒA ÁN </w:t>
      </w:r>
    </w:p>
    <w:p w:rsidR="009D39CF" w:rsidRPr="002125C1" w:rsidRDefault="00257D90"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w:t>
      </w:r>
      <w:r w:rsidR="009D39CF" w:rsidRPr="002125C1">
        <w:rPr>
          <w:color w:val="000000" w:themeColor="text1"/>
          <w:sz w:val="28"/>
          <w:szCs w:val="28"/>
        </w:rPr>
        <w:t xml:space="preserve">ề phạm vi điều chỉnh, Luật </w:t>
      </w:r>
      <w:r w:rsidRPr="002125C1">
        <w:rPr>
          <w:color w:val="000000" w:themeColor="text1"/>
          <w:sz w:val="28"/>
          <w:szCs w:val="28"/>
        </w:rPr>
        <w:t>Hòa giải, đối thoại tại Tòa án</w:t>
      </w:r>
      <w:r w:rsidR="009D39CF" w:rsidRPr="002125C1">
        <w:rPr>
          <w:color w:val="000000" w:themeColor="text1"/>
          <w:sz w:val="28"/>
          <w:szCs w:val="28"/>
        </w:rPr>
        <w:t xml:space="preserve"> quy định nguyên tắc, chính sách của Nhà nước về hòa giải, đối thoại tại Tòa án; quyền, nghĩa vụ của Hòa giải viên tại Tòa án, các bên tham gia hòa giải, đối thoại tại Tòa án; trách nhiệm của Tòa án đối với công tác hòa giải, đối thoại; trình tự, thủ tục hòa giải, đối thoại; công nhận kết quả hòa giải thành, đối thoại thành tại Tòa án.</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Hòa giải, đối thoại theo quy định của Luật </w:t>
      </w:r>
      <w:r w:rsidR="00257D90" w:rsidRPr="002125C1">
        <w:rPr>
          <w:color w:val="000000" w:themeColor="text1"/>
          <w:sz w:val="28"/>
          <w:szCs w:val="28"/>
        </w:rPr>
        <w:t>Hòa giải, đối thoại tại Tòa án</w:t>
      </w:r>
      <w:r w:rsidRPr="002125C1">
        <w:rPr>
          <w:color w:val="000000" w:themeColor="text1"/>
          <w:sz w:val="28"/>
          <w:szCs w:val="28"/>
        </w:rPr>
        <w:t xml:space="preserve"> được thực hiện trước khi Tòa án thụ lý đơn khởi kiện vụ án về tranh chấp dân sự, hôn nhân và gia đình, kinh doanh, thương mại, lao động; đơn yêu cầu công nhận thuận tình ly hôn; đơn khởi kiện vụ án hành chính thuộc thẩm quyền giải quyết của Tòa án theo quy định của Bộ luật Tố tụng dân sự, Luật Tố tụng hành chính. Luật </w:t>
      </w:r>
      <w:r w:rsidR="00257D90" w:rsidRPr="002125C1">
        <w:rPr>
          <w:color w:val="000000" w:themeColor="text1"/>
          <w:sz w:val="28"/>
          <w:szCs w:val="28"/>
        </w:rPr>
        <w:t>Hòa giải, đối thoại tại Tòa án</w:t>
      </w:r>
      <w:r w:rsidRPr="002125C1">
        <w:rPr>
          <w:color w:val="000000" w:themeColor="text1"/>
          <w:sz w:val="28"/>
          <w:szCs w:val="28"/>
        </w:rPr>
        <w:t xml:space="preserve"> không áp dụng đối với hoạt động hòa giải, đối thoại đã được luật khác quy định.</w:t>
      </w:r>
      <w:r w:rsidR="00257D90" w:rsidRPr="002125C1">
        <w:rPr>
          <w:color w:val="000000" w:themeColor="text1"/>
          <w:sz w:val="28"/>
          <w:szCs w:val="28"/>
        </w:rPr>
        <w:t xml:space="preserve">  </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nguyên tắc hòa giải, đối thoại tại Tòa án, Luật quy định, các bên tự nguyện tham gia hòa giải, đối thoại; Tôn trọng sự tự nguyện thỏa thuận, thống nhất của các bên; không được ép buộc các bên thỏa thuận, thống nhất trái với ý chí của họ; Bảo đảm bình đẳng về quyền và nghĩa vụ giữa các bên tham gia hòa giải, đối thoại; Nội dung thỏa thuận hòa giải, thống nhất đối thoại không vi phạm điều cấm của luật, không trái đạo đức xã hội, không nhằm trốn tránh nghĩa vụ với Nhà nước hoặc cơ quan, tổ chức, cá nhân khác, không xâm phạm quyền, lợi ích hợp pháp của cơ quan, tổ chức, cá nhân khác; Các thông tin liên quan đến vụ việc hòa giải, đối thoại phải được giữ bí mật theo quy định tại Điều 4 của Luật này; Phương thức hòa giải, đối thoại được tiến hành linh hoạt, phù hợp với tình hình thực tế, đặc điểm của mỗi loại vụ việc; Hòa giải viên tiến hành hòa giải, đối thoại độc lập và tuân theo pháp luật.</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Đồng thời Luật quy định "tiếng nói và chữ viết" dùng trong hòa giải, đối thoại là tiếng Việt. Người tham gia hòa giải, đối thoại có quyền dùng tiếng nói, chữ viết của dân tộc mình; trường hợp này họ có thể tự bố trí hoặc đề nghị Hòa giải viên bố trí phiên dịch cho mình. Người tham gia hòa giải, đối thoại là người khuyết tật nghe, nói hoặc khuyết tật nhìn có quyền dùng ngôn ngữ, ký hiệu, chữ dành riêng cho người khuyết tật; trường hợp này phải có người biết ngôn ngữ, ký hiệu, chữ dành riêng cho người khuyết tật để dịch lại và họ cũng được coi là người phiên dịch. Bảo đảm bình đẳng giới, bảo vệ quyền và lợi ích hợp pháp của trẻ em trong hòa giải, đối thoại tại Tòa án.</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Về bảo mật thông tin, Luật quy định rõ: Hòa giải viên, các bên tham gia hòa giải, đối thoại; cơ quan, tổ chức, cá nhân khác được mời tham gia hòa giải, đối thoại không được tiết lộ thông tin mà mình biết được trong quá trình hòa </w:t>
      </w:r>
      <w:r w:rsidRPr="002125C1">
        <w:rPr>
          <w:color w:val="000000" w:themeColor="text1"/>
          <w:sz w:val="28"/>
          <w:szCs w:val="28"/>
        </w:rPr>
        <w:lastRenderedPageBreak/>
        <w:t>giải, đối thoại. Trong quá trình hòa giải, đối thoại không được ghi âm, ghi hình, ghi biên bản hòa giải, đối thoại. Việc lập biên bản chỉ được thực hiện để ghi nhận kết quả hòa giải, đối thoại theo quy định tại Điều 31 của Luật này. Hòa giải viên, các bên tham gia hòa giải, đối thoại chỉ được ghi chép để phục vụ cho việc hòa giải, đối thoại và phải bảo mật nội dung đã ghi chép.</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Cơ quan, tổ chức, cá nhân không được sử dụng tài liệu, lời trình bày của các bên trong quá trình hòa giải, đối thoại làm chứng cứ trong quá trình giải quyết vụ việc theo quy định của pháp luật, trừ các trường hợp sau đây: Bên đã xuất trình tài liệu, trình bày ý kiến trong quá trình hòa giải, đối thoại đồng ý việc sử dụng tài liệu, lời trình bày của mình trong quá trình hòa giải, đối thoại làm chứng cứ; Phải sử dụng làm chứng cứ theo quy định của luật. Cơ quan, tổ chức, cá nhân vi phạm các quy định tại các khoản 1, 2 và 3 Điều này thì bị xử lý theo quy định của pháp luật.</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kinh phí cho công tác hòa giải, đối thoại tại Tòa án, Luật quy định Nhà nước bảo đảm kinh phí cho công tác hòa giải, đối thoại tại Tòa án từ ngân sách nhà nước và các nguồn kinh phí hợp pháp khác theo quy định của pháp luật. Kinh phí cho công tác hòa giải, đối thoại tại Tòa án do Chính phủ trình Quốc hội quyết định sau khi thống nhất với Tòa án nhân dân tối cao. Bộ trưởng Bộ Tài chính quy định việc lập dự toán, quản lý, sử dụng và quyết toán kinh phí bảo đảm cho công tác hòa giải, đối thoại tại Tòa án.</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chấm dứt hòa giải, đối thoại tại Tòa án, theo Luật, việc hòa giải, đối thoại chấm dứt khi thuộc một trong các trường hợp sau đây: Hòa giải thành, đối thoại thành; Các bên không đạt được thỏa thuận, thống nhất về toàn bộ nội dung tranh chấp, khiếu kiện hoặc chỉ thỏa thuận, thống nhất được một phần tranh chấp, khiếu kiện nhưng phần đó có liên quan đến những phần khác của tranh chấp, khiếu kiện; Một bên hoặc các bên không đồng ý tiếp tục hòa giải, đối thoại hoặc vắng mặt sau 02 lần được thông báo hợp lệ về việc hòa giải, đối thoại; Trong quá trình hòa giải, đối thoại phát hiện vụ việc thuộc trường hợp quy định tại Điều 19 của Luật này; Một trong các bên yêu cầu áp dụng biện pháp khẩn cấp tạm thời theo quy định của Bộ luật Tố tụng dân sự, Luật Tố tụng hành chính trong quá trình hòa giải, đối thoại; Người nộp đơn khởi kiện, đơn yêu cầu rút đơn khởi kiện, đơn yêu cầu.</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Với 04 Chương, 42 Điều, Luật Hòa giải, đối thoại tại Tòa án có hiệu lực thi hành từ ngày 01 tháng 01 năm 2021./.</w:t>
      </w:r>
    </w:p>
    <w:p w:rsidR="009D39CF" w:rsidRPr="002125C1" w:rsidRDefault="00A33F84" w:rsidP="002125C1">
      <w:pPr>
        <w:shd w:val="clear" w:color="auto" w:fill="FFFFFF"/>
        <w:spacing w:before="120" w:after="120" w:line="240" w:lineRule="auto"/>
        <w:ind w:firstLine="567"/>
        <w:jc w:val="both"/>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II</w:t>
      </w:r>
      <w:r w:rsidR="00257D90" w:rsidRPr="002125C1">
        <w:rPr>
          <w:rFonts w:ascii="Times New Roman" w:eastAsia="Times New Roman" w:hAnsi="Times New Roman" w:cs="Times New Roman"/>
          <w:b/>
          <w:bCs/>
          <w:color w:val="000000" w:themeColor="text1"/>
          <w:kern w:val="36"/>
          <w:sz w:val="28"/>
          <w:szCs w:val="28"/>
        </w:rPr>
        <w:t xml:space="preserve">. </w:t>
      </w:r>
      <w:r w:rsidR="00257D90" w:rsidRPr="009B1B5F">
        <w:rPr>
          <w:rFonts w:ascii="Times New Roman" w:eastAsia="Times New Roman" w:hAnsi="Times New Roman" w:cs="Times New Roman"/>
          <w:b/>
          <w:bCs/>
          <w:caps/>
          <w:color w:val="000000" w:themeColor="text1"/>
          <w:kern w:val="36"/>
          <w:sz w:val="28"/>
          <w:szCs w:val="28"/>
        </w:rPr>
        <w:t xml:space="preserve">Một số nội dung </w:t>
      </w:r>
      <w:r w:rsidR="009D39CF" w:rsidRPr="009B1B5F">
        <w:rPr>
          <w:rFonts w:ascii="Times New Roman" w:eastAsia="Times New Roman" w:hAnsi="Times New Roman" w:cs="Times New Roman"/>
          <w:b/>
          <w:bCs/>
          <w:caps/>
          <w:color w:val="000000" w:themeColor="text1"/>
          <w:kern w:val="36"/>
          <w:sz w:val="28"/>
          <w:szCs w:val="28"/>
        </w:rPr>
        <w:t>Luật sửa đổi, bổ sung một số điều của Luật Giám định tư pháp</w:t>
      </w:r>
    </w:p>
    <w:p w:rsidR="009D39CF" w:rsidRPr="002125C1" w:rsidRDefault="005C0164" w:rsidP="002125C1">
      <w:pPr>
        <w:pStyle w:val="NormalWeb"/>
        <w:shd w:val="clear" w:color="auto" w:fill="FFFFFF"/>
        <w:spacing w:before="120" w:beforeAutospacing="0" w:after="120" w:afterAutospacing="0"/>
        <w:ind w:firstLine="567"/>
        <w:jc w:val="both"/>
        <w:rPr>
          <w:color w:val="000000" w:themeColor="text1"/>
          <w:sz w:val="28"/>
          <w:szCs w:val="28"/>
        </w:rPr>
      </w:pPr>
      <w:hyperlink r:id="rId8" w:tgtFrame="_blank" w:history="1">
        <w:r w:rsidR="009D39CF" w:rsidRPr="002125C1">
          <w:rPr>
            <w:rStyle w:val="Hyperlink"/>
            <w:color w:val="000000" w:themeColor="text1"/>
            <w:sz w:val="28"/>
            <w:szCs w:val="28"/>
            <w:u w:val="none"/>
          </w:rPr>
          <w:t>Luật sửa đổi, bổ sung một số điều của Luật Giám định tư pháp</w:t>
        </w:r>
      </w:hyperlink>
      <w:r w:rsidR="009D39CF" w:rsidRPr="002125C1">
        <w:rPr>
          <w:color w:val="000000" w:themeColor="text1"/>
          <w:sz w:val="28"/>
          <w:szCs w:val="28"/>
        </w:rPr>
        <w:t>, có hiệu lực thi hành từ ngày 01 tháng 01 năm 2021.</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Luật quy định, Giám định tư pháp là việc người giám định tư pháp sử dụng kiến thức, phương tiện, phương pháp khoa học, kỹ thuật, nghiệp vụ để kết luận về chuyên môn những vấn đề có liên quan đến hoạt động khởi tố, điều tra, truy tố, xét xử và thi hành án hình sự, giải quyết vụ việc dân sự, vụ án hành chính </w:t>
      </w:r>
      <w:r w:rsidRPr="002125C1">
        <w:rPr>
          <w:color w:val="000000" w:themeColor="text1"/>
          <w:sz w:val="28"/>
          <w:szCs w:val="28"/>
        </w:rPr>
        <w:lastRenderedPageBreak/>
        <w:t>theo trưng cầu của cơ quan có thẩm quyền tiến hành tố tụng, người có thẩm quyền tiến hành tố tụng hoặc theo yêu cầu của người yêu cầu giám định theo quy định của Luật này.</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Người trưng cầu giám định bao gồm cơ quan có thẩm quyền tiến hành tố tụng, người có thẩm quyền tiến hành tố tụng. Người yêu cầu giám định là người có quyền tự mình yêu cầu giám định sau khi đã đề nghị cơ quan có thẩm quyền tiến hành tố tụng, người có thẩm quyền tiến hành tố tụng trưng cầu giám định mà không được chấp nhận. Người có quyền tự mình yêu cầu giám định bao gồm đương sự trong vụ việc dân sự, vụ án hành chính, nguyên đơn dân sự, bị đơn dân sự, người có quyền lợi, nghĩa vụ liên quan trong vụ án hình sự hoặc người đại diện hợp pháp của họ, trừ trường hợp việc yêu cầu giám định liên quan đến việc xác định trách nhiệm hình sự của bị can, bị cáo.</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quy định việc thành lập phòng giám định kỹ thuật hình sự thuộc Viện kiểm sát nhân dân tối cao. Theo đó, phòng giám định kỹ thuật hình sự thuộc Viện kiểm sát nhân dân tối cao thực hiện giám định về âm thanh, hình ảnh từ các dữ liệu điện tử. Căn cứ vào nhu cầu và điều kiện thực tế của địa phương, Phòng kỹ thuật hình sự thuộc Công an cấp tỉnh có giám định viên pháp y thực hiện giám định pháp y tử thi. Chính phủ quy định chi tiết chức năng, nhiệm vụ, cơ cấu tổ chức, chế độ làm việc của tổ chức giám định tư pháp công lập quy định tại khoản 2, khoản 3, các điểm a, b và c khoản 4 Điều này. Viện trưởng Viện kiểm sát nhân dân tối cao quy định chức năng, nhiệm vụ, cơ cấu tổ chức của Phòng giám định kỹ thuật hình sự thuộc Viện kiểm sát nhân dân tối cao, trình Ủy ban Thường vụ Quốc hội phê chuẩn.</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sơ yếu lý lịch và Phiếu lý lịch tư pháp đối với người được đề nghị bổ nhiệm giám định viên tư pháp, Luật quy định trường hợp người được đề nghị bổ nhiệm giám định viên tư pháp đang là công chức, viên chức, sĩ quan quân đội, sĩ quan công an nhân dân, quân nhân chuyên nghiệp, công nhân quốc phòng thì không cần có Phiếu lý lịch tư pháp.</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quy định người trưng cầu giám định quyết định trưng cầu giám định tư pháp bằng văn bản và gửi quyết định kèm theo đối tượng giám định, thông tin, tài liệu, đồ vật có liên quan (nếu có) đến cá nhân, tổ chức thực hiện giám định. Trường hợp đối tượng giám định, thông tin, tài liệu, đồ vật có liên quan không thể gửi kèm theo quyết định giám định thì người trưng cầu giám định có trách nhiệm làm thủ tục bàn giao cho cá nhân, tổ chức thực hiện giám định.</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Về thời hạn giám định tư pháp trong trường hợp trưng cầu giám định, Luật quy định thời hạn giám định tư pháp được tính từ ngày tổ chức, cá nhân được trưng cầu giám định nhận được quyết định trưng cầu giám định và kèm theo đầy đủ hồ sơ, đối tượng giám định, thông tin, tài liệu, đồ vật, mẫu vật cần thiết cho việc giám định. Trong quá trình thực hiện giám định, trường hợp cần phải bổ sung thêm hồ sơ, tài liệu làm cơ sở cho việc giám định thì tổ chức, cá nhân được trưng cầu có văn bản đề nghị người đã trưng cầu giám định bổ sung hồ sơ, tài liệu. Thời gian từ khi tổ chức, cá nhân được trưng cầu giám định có văn bản đề </w:t>
      </w:r>
      <w:r w:rsidRPr="002125C1">
        <w:rPr>
          <w:color w:val="000000" w:themeColor="text1"/>
          <w:sz w:val="28"/>
          <w:szCs w:val="28"/>
        </w:rPr>
        <w:lastRenderedPageBreak/>
        <w:t>nghị đến khi nhận được hồ sơ, tài liệu bổ sung không tính vào thời hạn giám định.</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Thời hạn giám định tư pháp đối với các trường hợp bắt buộc phải trưng cầu giám định được thực hiện theo quy định của pháp luật về tố tụng hình sự. Thời hạn giám định tư pháp đối với các trường hợp không thuộc quy định tại khoản 2 Điều này tối đa là 03 tháng. Trường hợp vụ việc giám định có tính chất phức tạp hoặc khối lượng công việc lớn thì thời hạn giám định tối đa là 04 tháng.</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Ngoài ra, Luật cũng sửa đổi, bổ sung nhiều quy định về công nhận và đăng tải danh sách người giám định tư pháp; quyền, nghĩa vụ của người trưng cầu giám định; kết luận giám định tư pháp; chi phí giám định tư pháp./.</w:t>
      </w:r>
    </w:p>
    <w:p w:rsidR="007B2798" w:rsidRPr="009B1B5F" w:rsidRDefault="00A33F84" w:rsidP="002125C1">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III</w:t>
      </w:r>
      <w:r w:rsidR="007B2798" w:rsidRPr="002125C1">
        <w:rPr>
          <w:color w:val="000000" w:themeColor="text1"/>
          <w:sz w:val="28"/>
          <w:szCs w:val="28"/>
        </w:rPr>
        <w:t xml:space="preserve">. </w:t>
      </w:r>
      <w:r w:rsidR="007B2798" w:rsidRPr="009B1B5F">
        <w:rPr>
          <w:caps/>
          <w:color w:val="000000" w:themeColor="text1"/>
          <w:sz w:val="28"/>
          <w:szCs w:val="28"/>
        </w:rPr>
        <w:t>Một số nội dung Luật Thanh niên (sửa đổi)</w:t>
      </w:r>
    </w:p>
    <w:p w:rsidR="007B2798" w:rsidRPr="002125C1" w:rsidRDefault="007B2798" w:rsidP="002125C1">
      <w:pPr>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shd w:val="clear" w:color="auto" w:fill="FFFFFF"/>
        </w:rPr>
        <w:t xml:space="preserve">So với Luật Thanh niên năm 2005 Luật Thanh niên được </w:t>
      </w:r>
      <w:r w:rsidR="0062004C">
        <w:rPr>
          <w:rFonts w:ascii="Times New Roman" w:eastAsia="Times New Roman" w:hAnsi="Times New Roman" w:cs="Times New Roman"/>
          <w:color w:val="000000" w:themeColor="text1"/>
          <w:sz w:val="28"/>
          <w:szCs w:val="28"/>
          <w:shd w:val="clear" w:color="auto" w:fill="FFFFFF"/>
        </w:rPr>
        <w:t>Q</w:t>
      </w:r>
      <w:r w:rsidRPr="002125C1">
        <w:rPr>
          <w:rFonts w:ascii="Times New Roman" w:eastAsia="Times New Roman" w:hAnsi="Times New Roman" w:cs="Times New Roman"/>
          <w:color w:val="000000" w:themeColor="text1"/>
          <w:sz w:val="28"/>
          <w:szCs w:val="28"/>
          <w:shd w:val="clear" w:color="auto" w:fill="FFFFFF"/>
        </w:rPr>
        <w:t>uốc hội xem xét, thông qua tăng 01 Chương và 05 Điều.</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I, Quy định chung gồm 11 Điều (Từ Điều 1 đến Điều 11) quy định:  Thanh niên; Phạm vi điều chỉnh; Đối tượng áp dụng; Vai trò, quyền và nghĩa vụ của thanh niên; Nguyên tắc bảo đảm thực hiện quyền, nghĩa vụ của thanh niên và chính sách của Nhà nước đối với thanh niên; Nguồn lực thực hiện chính sách của Nhà nước đối với thanh niên; Ủy ban quốc gia về thanh niên Việt Nam; Hợp tác quốc tế về thanh niên; Tháng Thanh niên; Đối thoại với thanh niên và Áp dụng điều ước quốc tế về quyền trẻ em đối với thanh niên từ đủ 16 tuổi đến dưới 18 tuổi.</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II, Trách nhiệm của thanh niên gồm 04 điều (Từ Điều 12 đến Điều 15) quy định trách nhiệm của thanh niên đối với Tổ quốc; đối với Nhà nước và xã hội; đối với gia đình và đối với bản thân.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III, Chính sách Nhà nước đối với thanh niên gồm 11 Điều (Từ Điều 16 đến Điều 26) quy định 11 nhóm chính sách của Nhà nước đối với thanh niên. Trong đó có 06 điều (từ Điều 16 đến Điều 21) quy định chính sách theo lĩnh vực gồm: Chính sách về học tập và nghiên cứu khoa học; chính sách về lao động, việc làm; chính sách về khởi nghiệp; chính sách về bảo vệ, chăm sóc và nâng cao sức khỏe; chính sách về văn hóa, thể dục, thể thao; chính sách về bảo vệ Tổ quốc và 05 điều (từ Điều 22 đến Điều 26) quy định chính sách đối với một số nhóm đối tượng thanh niên, gồm: Chính sách đối với thanh niên xung phong; chính sách đối với thanh niên tình nguyện; chính sách đối với thanh niên có tài năng; chính sách đối với thanh niên dân tộc thiểu số và chính sách đối với thanh niên từ đủ 16 tuổi đến dưới 18 tuổi.</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IV, Tổ chức thanh niên, gồm 4 điều (Từ Điều 27 đến Điều 30) quy định về tổ chức thanh niên; quy định về Đoàn Thanh niên Cộng sản Hồ Chí Minh, Hội Liên hiệp thanh niên Việt Nam, Hội sinh viên Việt Nam và quy định về chính sách cùa Nhà nước đối với tổ chức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 xml:space="preserve">Chương V, Trách nhiệm của Mặt trận Tổ quốc Việt Nam, tổ chức xã hội, tổ chức kinh tế, cơ sở giáo dục, gia đình gồm 05 điều (Từ Điều 31 đến Điền 35), </w:t>
      </w:r>
      <w:r w:rsidRPr="002125C1">
        <w:rPr>
          <w:rFonts w:ascii="Times New Roman" w:eastAsia="Times New Roman" w:hAnsi="Times New Roman" w:cs="Times New Roman"/>
          <w:color w:val="000000" w:themeColor="text1"/>
          <w:sz w:val="28"/>
          <w:szCs w:val="28"/>
        </w:rPr>
        <w:lastRenderedPageBreak/>
        <w:t>quy định rõ trách nhiệm của Mặt trận Tổ quốc Việt Nam, tổ chức xã hội, tổ chức kinh tế, cơ sở giáo dục, gia đình đối với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VI, Quản lý nhà nước về thanh niên. Gồm 5 Điều (từ Điều 36 đến Điều 40), quy định nội dung quản lý nhà nước về thanh niên; trách nhiệm của Chính  phủ; trách nhiệm của Bộ Nội vụ; trách nhiệm của các bộ, cơ quan ngang bộ và trách nhiệm của Hội đồng nhân dân, Ủy ban nhân dân cấp tỉnh.</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VII, Quy định hiệu lực thi hành, gồm 01 điều quy định về hiệu lực thi hành.</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Một số nội dung mới của Luật Thanh niên (sửa đổi) so với Luật Thanh niên năm 2005</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1. Không quy định cụ thể quyền và nghĩa vụ của thanh niên mà quy định trách nhiệm của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năm 2005 có 01 chương (chương II) quy định 8 quyền, nghĩa vụ cơ bản của thanh niên nhưng thể hiện theo cách quyền và nghĩa vụ đi liền với nhau, vừa là quyền, vừa là nghĩa vụ, các điều khoản thì chưa rõ ràng, còn chung chung. Thanh niên cũng đồng thời là công dân, vì thế các quyền hoặc nghĩa vụ của công dân cũng chính là các quyền và nghĩa vụ của thanh niên. Trong khi đó, các quyền và nghĩa vụ của công dân đã được Hiến pháp và các luật chuyên ngành quy định rất cụ thể, rõ ràng. Luật Thanh niên (sửa đổi) không quy định quyền và nghĩa vụ của thanh niên trên các lĩnh vực cơ bản mà quy định thành 01 Điều quét chung quy định về vai trò, quyền và nghĩa vụ chung của thanh niên (Điều 4). Đồng thời, Dự thảo Luật Thanh niên (sửa đổi) đã dành 01 Chương (Chương II) quy định trách nhiệm của thanh niên đối với Tổ quốc, Nhà nước, gia đình, xã hội và bản thân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2. Luật Thanh niên (sửa đổi) quy định nguồn lực thực hiện chính sách nhà nước đối với thanh niên, quy định Tháng Thanh niên, Đối thoại với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Từ năm 2003, Đảng, Nhà nước đã lấy tháng 3 hàng năm là Tháng thanh niên nhằm phát huy vai trò xung kích, tình nguyện của thanh niên trong việc tham gia phát triển kinh tế - xã hội, bảo đảm giữ vững an ninh chính trị, trật tự an toàn xã hội, đồng thời bồi dưỡng lực lượng thanh niên - nguồn nhân lực trẻ trong sự nghiệp xây dựng và bảo vệ Tổ quốc. Luật Thanh niên (sửa đổi) quy định Tháng 3 hằng năm là Tháng Thanh niên nhằm phát huy tinh thần xung kích, tình nguyện, sáng tạo của thanh niên để tham gia hoạt động vì lợi ích của cộng đồng, xã hội và vận động tổ chức, cá nhân đầu tư, phát triển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 xml:space="preserve">Nghị quyết số 25-NQ/TW ngày 25/7/2008 của Ban Chấp hành Trung ương Đảng khoá X quy định: Chính quyền các cấp định kỳ gặp gỡ, đối thoại với thanh niên. Hiện nay, Lãnh đạo các bộ ngành, Chủ tịch Ủy ban nhân dân các cấp, Thủ trưởng các cơ quan, tổ chức đã thường xuyên gặp gỡ, đối thoại với thanh niên để giải đáp và tháo gỡ các vấn đề có liên quan đến thanh niên. Luật Thanh niên (sửa đổi) quy định việc đối thoại với thanh niên nhằm cụ thể hóa Nghị quyết của </w:t>
      </w:r>
      <w:r w:rsidRPr="002125C1">
        <w:rPr>
          <w:rFonts w:ascii="Times New Roman" w:eastAsia="Times New Roman" w:hAnsi="Times New Roman" w:cs="Times New Roman"/>
          <w:color w:val="000000" w:themeColor="text1"/>
          <w:sz w:val="28"/>
          <w:szCs w:val="28"/>
        </w:rPr>
        <w:lastRenderedPageBreak/>
        <w:t>Đảng,  phù hợp với thực tiễn nhằm giải quyết các kiến nghị, đề xuất của thanh niên thông qua hoạt động đối thoại với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năm 2005 không quy định nguồn lực thực hiện chính sách nhà nước đối với thanh niên, khắc phục nhược điểm đó, Luật Thanh niên (sửa đổi) quy định Nhà nước bảo đảm nguồn lực để xây dựng và tổ chức thực hiện chính sách đối với thanh niên theo quy định của pháp luật. Nguồn tài chính bảo đảm thực hiện chính sách đối với thanh niên gồm ngân sách nhà nước; các khoản ủng hộ, viện trợ, tài trợ và khoản đóng góp.</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3. Về chính sách của Nhà nước đối với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2005 đã quy định các chính sách của nhà nước đối với thanh niên gắn với trách nhiệm của nhà trường, gia đình, chính quyền địa phương các cấp và Đoàn thanh niên cộng sản Hồ Chí Minh cùng các tổ chức thanh niên. Luật thanh niên sửa đổi lần này đã tách các chính sách của Nhà nước đối với thanh niên thành một chương riêng để không chồng chéo với các chính sách đã được quy định ở các luật chuyên ngành và bảo đảm tính khả thi cao khi Luật được ban hành, các chính sách của Nhà nước đối với thanh niên quy định trong Luật Thanh niên (sửa đổi) đã được thiết kế theo hướng vừa quy định </w:t>
      </w:r>
      <w:r w:rsidRPr="002125C1">
        <w:rPr>
          <w:rFonts w:ascii="Times New Roman" w:eastAsia="Times New Roman" w:hAnsi="Times New Roman" w:cs="Times New Roman"/>
          <w:b/>
          <w:bCs/>
          <w:color w:val="000000" w:themeColor="text1"/>
          <w:sz w:val="28"/>
          <w:szCs w:val="28"/>
          <w:bdr w:val="none" w:sz="0" w:space="0" w:color="auto" w:frame="1"/>
        </w:rPr>
        <w:t>chính sách khung vừa quy định chính sách cụ thể</w:t>
      </w:r>
      <w:r w:rsidRPr="002125C1">
        <w:rPr>
          <w:rFonts w:ascii="Times New Roman" w:eastAsia="Times New Roman" w:hAnsi="Times New Roman" w:cs="Times New Roman"/>
          <w:color w:val="000000" w:themeColor="text1"/>
          <w:sz w:val="28"/>
          <w:szCs w:val="28"/>
        </w:rPr>
        <w:t>, có tính chất định hướng trên các lĩnh vực gần với thanh niên; trong đó, quy định nguyên tắc định hướng để thực hiện các chính sách làm cơ sở cho việc bảo đảm cho các cơ quan Nhà nước có thẩm quyền trong quá trình thực hiện nhiệm vụ theo ngành, lĩnh vực và địa phương tổ chức triển khai thực hiện hoặc lồng ghép trong việc thực hiện chính sách đối với thanh niên trên các lĩnh vực: Học tập và nghiên cứu khoa học; về lao động, việc làm; về khởi nghiệp; về bảo vệ, chăm sóc và nâng cao sức khỏe; về văn hóa, thể dục, thể thao, về bảo vệ Tổ quốc. Đồng thời quy định chính sách đối với một số nhóm thanh niên cụ thể, như: Chính sách hỗ trợ thanh niên tài năng, thanh niên khởi nghiệp; thanh niên từ đủ mười sáu tuối đến dưới mười tám tuổi, thanh niên dân tộc thiểu số.</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4. Tổ chức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Kế thừa Luật Thanh niên năm 2005, Luật Thanh niên (sửa đổi) đã dành 01 Chương quy định về tổ chức thanh niên (Chương IV) trong đó quy định về tổ chức thanh niên, Đoàn TNCS Hồ Chí Minh, Hội liên hiệp thanh niên Việt Nam, Hội sinh viên Việt Nam và quy định trách nhiệm của tổ chức thanh niên, chính sách của nhà nước đối với tổ chức thanh niên. Chương này đã cụ thể hóa tinh thần Kết luận số 80/KL-TW ngày 25/12/2013 của Bộ Chính trị về việc đẩy mạnh thực hiện Nghị quyết số 25-NQ/TW của Ban Chấp hành Trung ương Đảng để khẳng định vị thế và nâng cao vai trò, trách nhiệm của Đoàn TNCS Hồ Chí Minh và các tổ chức thanh niên đối với thanh niên, đặc biệt là đã có 01 Điều quy định chính sách của Nhà nước đối với tổ chức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5. Về trách nhiệm của Mặt trận Tổ quốc, tổ chức xã hội, tổ chức kinh tế, cơ sỏe giáo dục, gia đình đối với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lastRenderedPageBreak/>
        <w:t>Luật Thanh niên năm 2005 không quy định trách nhiệm của Mặt trận Tổ quốc, tổ chức xã hội, tổ chức kinh tế, cơ sở giáo dục, gia đình đối với thanh niên. Khắc phục hạn chế này, Luật Thanh niên (sửa đổi) đã dành 01 Chương (Chương V) quy định về trách nhiệm của Mặt trận Tổ quốc, tổ chức xã hội, tổ chức kinh tế, cơ sở giáo dục, gia đình đối với thanh niên. Cụ thể:</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quy định trách nhiệm của Mặt trận Tổ quốc, tổ chức xã hội, tổ chức kinh tế trong việc phối hợp bảo vệ, chăm sóc, tạo điều kiện cho thanh niên thực hiện quyền, nghĩa vụ và trách nhiệm của mình; đồng thời tạo điều kiện cho thanh niên được học tập, lao động an toàn, phát triển thể lực, trí tuệ, tham gia các hoạt động văn hóa, thể dục thể thao, chăm sóc, bảo vệ sức khỏe và tạo điều kiện cho tổ chức Đoàn thanh niên cộng sản Hồ Chí Minh, Hội Liên hiệp thanh niên Việt Nam thành lập các tổ chức nhằm bảo vệ lợi ích hợp pháp, chính đáng của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(sửa đổi) cũng quy định rõ trách nhiệm của cơ sở giáo dục, gia đình trong việc chăm lo, bảo đảm cho thanh niên được: Học tập, phát triển tài năng, giáo dục rèn luyện nhân cách, đạo đức, chăm sóc rèn luyện sức khỏe, định hướng nghề nghiệp, lao động việc làm.</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6. Về cơ quan quản lý Nhà nước về thanh niên</w:t>
      </w:r>
    </w:p>
    <w:p w:rsidR="007B2798" w:rsidRPr="002125C1" w:rsidRDefault="007B2798" w:rsidP="002125C1">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năm 2005 không quy định cụ thể cơ quan nào giúp Chính phủ thực hiện nhiệm vụ quản lý nhà nước về thanh niên; đồng thời cũng không quy định trách nhiệm của các bộ, ngành trong việc phối hợp thực hiện nhiệm vụ quản lý nhà nước về thanh niên, không quy định trách nhiệm của chính quyền địa phương các cấp trong việc thực hiện nhiệm vụ quản lý nhà nước về thanh niên. Khắc phục hạn chế này, Luật Thanh  niên (sửa đổi) quy định nội dung quản lý nhà nước về thanh niên; trách nhiệm của Chính phủ; trách nhiệm của Bộ Nội vụ - cơ quan chịu trách nhiệm trước Chính phủ thực hiện quản lý nhà nước về thanh niên; quy định trách nhiệm của các bộ, cơ quan ngang bộ; trách  nhiệm của Hội đồng nhân dân, Ủy ban nhân dân cấp tỉnh trong việc thực hiện nhiệm vụ quản lý nhà nước về thanh niên và việc tổ chức triển khai chính sách, pháp luật đối với thanh niên.</w:t>
      </w:r>
    </w:p>
    <w:p w:rsidR="009D39CF" w:rsidRPr="00A4461E" w:rsidRDefault="00A33F84" w:rsidP="002125C1">
      <w:pPr>
        <w:pStyle w:val="Heading1"/>
        <w:shd w:val="clear" w:color="auto" w:fill="FFFFFF"/>
        <w:spacing w:before="120" w:beforeAutospacing="0" w:after="120" w:afterAutospacing="0"/>
        <w:ind w:firstLine="567"/>
        <w:jc w:val="both"/>
        <w:rPr>
          <w:caps/>
          <w:color w:val="000000" w:themeColor="text1"/>
          <w:sz w:val="28"/>
          <w:szCs w:val="28"/>
        </w:rPr>
      </w:pPr>
      <w:r w:rsidRPr="00A33F84">
        <w:rPr>
          <w:color w:val="000000" w:themeColor="text1"/>
          <w:sz w:val="28"/>
          <w:szCs w:val="28"/>
        </w:rPr>
        <w:t>IV</w:t>
      </w:r>
      <w:r w:rsidR="00257D90" w:rsidRPr="00A33F84">
        <w:rPr>
          <w:color w:val="000000" w:themeColor="text1"/>
          <w:sz w:val="28"/>
          <w:szCs w:val="28"/>
        </w:rPr>
        <w:t xml:space="preserve">. </w:t>
      </w:r>
      <w:r w:rsidR="00257D90" w:rsidRPr="00A4461E">
        <w:rPr>
          <w:caps/>
          <w:color w:val="000000" w:themeColor="text1"/>
          <w:sz w:val="28"/>
          <w:szCs w:val="28"/>
        </w:rPr>
        <w:t xml:space="preserve">Một số nội dung </w:t>
      </w:r>
      <w:r w:rsidR="009D39CF" w:rsidRPr="00A4461E">
        <w:rPr>
          <w:caps/>
          <w:color w:val="000000" w:themeColor="text1"/>
          <w:sz w:val="28"/>
          <w:szCs w:val="28"/>
        </w:rPr>
        <w:t>Luật Doanh nghiệp (sửa đổi)</w:t>
      </w:r>
    </w:p>
    <w:p w:rsidR="007B2798" w:rsidRPr="002125C1" w:rsidRDefault="007B2798"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1. Không phải thông báo mẫu dấu trước khi dùng</w:t>
      </w:r>
    </w:p>
    <w:p w:rsidR="007B2798" w:rsidRPr="00A33F84"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Hiện nay, trước khi sử dụng, doanh nghiệp có nghĩa vụ thông báo mẫu con dấu với cơ quan đăng ký kinh doanh để đăng tải công khai trên Cổng thông tin quốc gia về đăng ký doanh nghiệp (theo khoản 2 Điều 44 </w:t>
      </w:r>
      <w:hyperlink r:id="rId9" w:history="1">
        <w:r w:rsidRPr="00A33F84">
          <w:rPr>
            <w:rStyle w:val="Hyperlink"/>
            <w:color w:val="000000" w:themeColor="text1"/>
            <w:sz w:val="28"/>
            <w:szCs w:val="28"/>
            <w:u w:val="none"/>
          </w:rPr>
          <w:t>Luật Doanh nghiệp năm 2014</w:t>
        </w:r>
      </w:hyperlink>
      <w:r w:rsidRPr="00A33F84">
        <w:rPr>
          <w:color w:val="000000" w:themeColor="text1"/>
          <w:sz w:val="28"/>
          <w:szCs w:val="28"/>
        </w:rPr>
        <w:t>).</w:t>
      </w:r>
    </w:p>
    <w:p w:rsidR="007B2798" w:rsidRPr="002125C1" w:rsidRDefault="007B2798" w:rsidP="002125C1">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Còn Luật Doanh nghiệp mới không quy định doanh nghiệp phải thông báo mẫu dấu với cơ quan đăng ký kinh doanh.</w:t>
      </w:r>
    </w:p>
    <w:p w:rsidR="007B2798" w:rsidRPr="002125C1" w:rsidRDefault="007B2798" w:rsidP="002125C1">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Theo đó, Luật này quy định dấu bao gồm dấu được làm tại các cơ sở khắc dấu hoặc dưới hình thức chữ ký số theo quy định của pháp luật về giao dịch điện tử và chữ ký số.</w:t>
      </w:r>
    </w:p>
    <w:p w:rsidR="007B2798" w:rsidRPr="002125C1" w:rsidRDefault="007B2798" w:rsidP="002125C1">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lastRenderedPageBreak/>
        <w:t>Doanh nghiệp được quyết định loại dấu; quyết định số lượng, hình thức và nội dung dấu của doanh nghiệp, chi nhánh, văn phòng đại diện và đơn vị khác của doanh nghiệp.</w:t>
      </w:r>
    </w:p>
    <w:p w:rsidR="007B2798" w:rsidRPr="002125C1" w:rsidRDefault="007B2798"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2. Sẽ ban hành Luật riêng cho 50 triệu hộ kinh doanh</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Theo tìm hiểu, hiện có khoảng 05 triệu hộ kinh doanh nhiều gấp 05 - 06 lần số doanh nghiệp.</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Bản chất hoạt động, cách thức và quy mô của hộ kinh doanh rất khác so với doanh nghiệp, theo đó, không đưa hộ kinh doanh vào đối tượng áp dụng của Luật Doanh nghiệp sửa đổi năm 2020 mà sẽ ban hành một Luật riêng để điều chỉnh về đối tượng này.</w:t>
      </w:r>
    </w:p>
    <w:p w:rsidR="00532E83"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Đồng thời, trong thời gian chờ đợi Luật, Chính phủ sẽ hướng dẫn đăng ký và hoạt động đối với hộ kinh doanh.</w:t>
      </w:r>
    </w:p>
    <w:p w:rsidR="007B2798" w:rsidRPr="002125C1" w:rsidRDefault="007B2798"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3. Thêm đối tượng bị cấm thành lập doanh nghiệp</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Bên cạnh các tổ chức, cá nhân không có quyền thành lập và quản lý doanh nghiệp tại Việt Nam sau đây:</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Cơ quan Nhà nước, đơn vị vũ trang nhân dân sử dụng tài sản nhà nước để thành lập doanh nghiệp kinh doanh thu lợi riêng cho cơ quan, đơn vị mình;</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Cán bộ, công chức, viên chức;</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Cán bộ lãnh đạo, quản lý nghiệp vụ trong doanh nghiệp nhà nước, trừ những người được cử làm đại diện theo ủy quyền để quản lý phần vốn góp của Nhà nước tại doanh nghiệp khác;</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Người chưa thành niên; người bị hạn chế năng lực hành vi dân sự hoặc bị mất năng lực hành vi dân sự; tổ chức không có tư cách pháp nhân;</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các trường hợp khác theo quy định của pháp luật về phá sản, phòng, chống tham nhũng.</w:t>
      </w:r>
    </w:p>
    <w:p w:rsidR="007B2798" w:rsidRPr="0062004C"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Doanh nghiệp sửa đổi còn bổ sung thêm 01 đối tượng khác không được thành lập và quản lý doanh nghiệp: </w:t>
      </w:r>
      <w:r w:rsidRPr="0062004C">
        <w:rPr>
          <w:rStyle w:val="Emphasis"/>
          <w:bCs/>
          <w:color w:val="000000" w:themeColor="text1"/>
          <w:sz w:val="28"/>
          <w:szCs w:val="28"/>
        </w:rPr>
        <w:t>Tổ chức là pháp nhân thương mại bị cấm kinh doanh, cấm hoạt động trong một số lĩnh vực nhất định theo quy định của Bộ luật Hình sự.</w:t>
      </w:r>
    </w:p>
    <w:p w:rsidR="00532E83"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Như vậy, từ ngày 01/01/2021 sẽ có 07 nhóm đối tượng bị cấm thành lập và quản lý doanh nghiệp.</w:t>
      </w:r>
    </w:p>
    <w:p w:rsidR="007B2798" w:rsidRPr="002125C1" w:rsidRDefault="007B2798"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4. Thay đổi tỷ lệ vốn trong doanh nghiệp Nhà nước</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Emphasis"/>
          <w:color w:val="000000" w:themeColor="text1"/>
          <w:sz w:val="28"/>
          <w:szCs w:val="28"/>
        </w:rPr>
        <w:t>Doanh nghiệp Nhà nước</w:t>
      </w:r>
      <w:r w:rsidRPr="002125C1">
        <w:rPr>
          <w:color w:val="000000" w:themeColor="text1"/>
          <w:sz w:val="28"/>
          <w:szCs w:val="28"/>
        </w:rPr>
        <w:t> bao gồm các doanh nghiệp do Nhà nước nắm giữ trên 50% vốn điều lệ, tổng số cổ phần có quyền biểu quyết thay vì 100% vốn điều lệ như hiện nay.</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Cụ thể, Điều 88 Luật Doanh nghiệp sửa đổi khái niệm doanh nghiệp Nhà nước theo nguyên tắc phân chia các loại doanh nghiệp có sở hữu Nhà nước theo mức độ sở hữu khác nhau:</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Doanh nghiệp nhà nước được tổ chức quản lý dưới hình thức công ty trách nhiệm hữu hạn, công ty cổ phần, bao gồm:</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Doanh nghiệp do Nhà nước nắm giữ 100% vốn điều lệ;</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Doanh nghiệp do Nhà nước nắm giữ trên 50% vốn điều lệ hoặc tổng số cổ phần có quyền biểu quyết trở lên, trừ doanh nghiệp do Nhà nước nắm giữ 100% vốn điều lệ.</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Trong đó, doanh nghiệp do Nhà nước nắm giữ 100% vốn điều lệ gồm:</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Công ty trách nhiệm hữu hạn một thành viên là công ty độc lập do Nhà nước nắm giữ 100% vốn điều lệ.</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Còn doanh nghiệp do Nhà nước nắm giữ trên 50% vốn điều lệ hoặc tổng số cổ phần có quyền biểu quyết gồm:</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Công ty trách nhiệm hữu hạn hai thành viên trở lên, công ty cổ phần do Nhà nước nắm giữ trên 50% vốn điều lệ, tổng số cổ phần có quyền biểu quyết là công ty mẹ tập đoàn kinh tế, tổng công ty hoặc trong nhóm công ty mẹ - công ty con.</w:t>
      </w:r>
    </w:p>
    <w:p w:rsidR="007B2798" w:rsidRPr="002125C1" w:rsidRDefault="007B2798"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Công ty trách nhiệm hữu hạn hai thành viên trở lên, công ty cổ phần là công ty độc lập do Nhà nước nắm giữ trên 50% vốn điều lệ, tổng số cổ phần có quyền biểu quyết.</w:t>
      </w:r>
    </w:p>
    <w:p w:rsidR="00532E83" w:rsidRPr="002125C1" w:rsidRDefault="00532E83" w:rsidP="002125C1">
      <w:pPr>
        <w:pStyle w:val="Heading2"/>
        <w:shd w:val="clear" w:color="auto" w:fill="FFFFFF"/>
        <w:spacing w:before="120" w:beforeAutospacing="0" w:after="120" w:afterAutospacing="0"/>
        <w:ind w:firstLine="567"/>
        <w:rPr>
          <w:color w:val="000000" w:themeColor="text1"/>
          <w:sz w:val="28"/>
          <w:szCs w:val="28"/>
        </w:rPr>
      </w:pPr>
      <w:r w:rsidRPr="002125C1">
        <w:rPr>
          <w:rStyle w:val="Strong"/>
          <w:b/>
          <w:bCs/>
          <w:color w:val="000000" w:themeColor="text1"/>
          <w:sz w:val="28"/>
          <w:szCs w:val="28"/>
        </w:rPr>
        <w:t>5. Bỏ quy định về thời hạn sở hữu cổ phần phổ thông</w:t>
      </w:r>
    </w:p>
    <w:p w:rsidR="007B2798" w:rsidRPr="002125C1" w:rsidRDefault="007B2798" w:rsidP="002125C1">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Doanh nghiệp sửa đổi năm 2020 đã bỏ quy định cổ đông hoặc nhóm cổ đông phải sở hữu cổ phần phổ thông trong thời hạn liên tục ít nhất 06 tháng tại khoản 2 Điều 114 Luật hiện hành để bảo đảm việc thực hiện các quyền của cổ đông không làm ảnh hưởng đến việc điều hành hoạt động sản xuất, kinh doanh bình thường của doanh nghiệp.</w:t>
      </w:r>
    </w:p>
    <w:p w:rsidR="007B2798" w:rsidRPr="002125C1" w:rsidRDefault="007B2798" w:rsidP="002125C1">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Theo đó, cổ đông hoặc nhóm cổ đông sở hữu từ 05% (thay vì 10%) tổng số cổ phần phổ thông trở lên hoặc một tỷ lệ khác nhỏ hơn quy định tại Điều lệ công ty có các quyền sau đây:</w:t>
      </w:r>
    </w:p>
    <w:p w:rsidR="007B2798" w:rsidRPr="002125C1" w:rsidRDefault="007B2798" w:rsidP="002125C1">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lastRenderedPageBreak/>
        <w:t>- Xem xét và trích lục sổ biên bản và các nghị quyết của Hội đồng quản trị, báo cáo tài chính giữa năm và hằng năm theo mẫu của hệ thống kế toán Việt Nam và các báo cáo của Ban kiểm soát, hợp đồng, giao dịch phải thông qua Hội đồng quản trị và tài liệu khác trừ tài liệu liên quan đến bí mật thương mại, bí mật kinh doanh của công ty;</w:t>
      </w:r>
    </w:p>
    <w:p w:rsidR="007B2798" w:rsidRPr="002125C1" w:rsidRDefault="007B2798" w:rsidP="002125C1">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 Yêu cầu triệu tập họp Đại hội đồng cổ đông trong một số trường hợp;</w:t>
      </w:r>
    </w:p>
    <w:p w:rsidR="007B2798" w:rsidRPr="002125C1" w:rsidRDefault="007B2798" w:rsidP="002125C1">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 Yêu cầu Ban kiểm soát kiểm tra từng vấn đề cụ thể liên quan đến quản lý, điều hành hoạt động của công ty khi xét thấy cần thiết;</w:t>
      </w:r>
    </w:p>
    <w:p w:rsidR="007B2798" w:rsidRPr="002125C1" w:rsidRDefault="007B2798" w:rsidP="002125C1">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 Các quyền khác theo quy định của Luật Doanh nghiệp 2020 và Điều lệ công ty.</w:t>
      </w:r>
    </w:p>
    <w:p w:rsidR="007B2798" w:rsidRPr="002125C1" w:rsidRDefault="007B2798" w:rsidP="002125C1">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Trên đây là những thay đổi của Luật Doanh nghiệp sửa đổi so với Lu</w:t>
      </w:r>
      <w:r w:rsidR="002E6145" w:rsidRPr="002125C1">
        <w:rPr>
          <w:rFonts w:ascii="Times New Roman" w:eastAsia="Times New Roman" w:hAnsi="Times New Roman" w:cs="Times New Roman"/>
          <w:color w:val="000000" w:themeColor="text1"/>
          <w:sz w:val="28"/>
          <w:szCs w:val="28"/>
        </w:rPr>
        <w:t>ật Doanh nghiệp 2014 hiện hành.</w:t>
      </w:r>
    </w:p>
    <w:p w:rsidR="009D39CF" w:rsidRPr="00A4461E" w:rsidRDefault="00A33F84" w:rsidP="002125C1">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V</w:t>
      </w:r>
      <w:r w:rsidR="00257D90" w:rsidRPr="002125C1">
        <w:rPr>
          <w:color w:val="000000" w:themeColor="text1"/>
          <w:sz w:val="28"/>
          <w:szCs w:val="28"/>
        </w:rPr>
        <w:t xml:space="preserve">. </w:t>
      </w:r>
      <w:r w:rsidR="009D39CF" w:rsidRPr="00A4461E">
        <w:rPr>
          <w:caps/>
          <w:color w:val="000000" w:themeColor="text1"/>
          <w:sz w:val="28"/>
          <w:szCs w:val="28"/>
        </w:rPr>
        <w:t>Luật sửa đổi, bổ sung một số điều của Luật Phòng, chống thiên tai và Luật Đê điều</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sửa đổi, bổ sung một số điều của Luật Phòng, chống thiên tai và Luật Đê điều có bố cục gồm 03 Điều. Cụ thể, Điều 1 quy định về sửa đổi, bổ sung một số điều của </w:t>
      </w:r>
      <w:hyperlink r:id="rId10" w:tgtFrame="_blank" w:history="1">
        <w:r w:rsidRPr="002125C1">
          <w:rPr>
            <w:rStyle w:val="Hyperlink"/>
            <w:color w:val="000000" w:themeColor="text1"/>
            <w:sz w:val="28"/>
            <w:szCs w:val="28"/>
            <w:u w:val="none"/>
          </w:rPr>
          <w:t>Luật Phòng, chống thiên tai</w:t>
        </w:r>
      </w:hyperlink>
      <w:r w:rsidRPr="002125C1">
        <w:rPr>
          <w:color w:val="000000" w:themeColor="text1"/>
          <w:sz w:val="28"/>
          <w:szCs w:val="28"/>
        </w:rPr>
        <w:t>; Điều 2 quy định về sửa đổi, bổ sung một số điều của </w:t>
      </w:r>
      <w:hyperlink r:id="rId11" w:tgtFrame="_blank" w:history="1">
        <w:r w:rsidRPr="002125C1">
          <w:rPr>
            <w:rStyle w:val="Hyperlink"/>
            <w:color w:val="000000" w:themeColor="text1"/>
            <w:sz w:val="28"/>
            <w:szCs w:val="28"/>
            <w:u w:val="none"/>
          </w:rPr>
          <w:t>Luật Đê điều</w:t>
        </w:r>
      </w:hyperlink>
      <w:r w:rsidRPr="002125C1">
        <w:rPr>
          <w:color w:val="000000" w:themeColor="text1"/>
          <w:sz w:val="28"/>
          <w:szCs w:val="28"/>
        </w:rPr>
        <w:t>; Điều 3 quy định về hiệu lực thi hành.</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Theo đó, về sửa đổi, bổ sung một số điều của Luật Phòng, chống thiên tai, Luật quy định nguồn nhân lực cho phòng, chống thiên tai bao gồm: Tổ chức, hộ gia đình và cá nhân trên địa bàn là lực lượng tại chỗ thực hiện hoạt động phòng, chống thiên tai; Dân quân tự vệ là lực lượng tại chỗ thực hiện nhiệm vụ phòng, chống thiên tai theo phương án ứng phó thiên tai của địa phương và sự điều động của người có thẩm quyền; Quân đội nhân dân, Công an nhân dân có trách nhiệm thực hiện nhiệm vụ phòng, chống thiên tai và là lực lượng nòng cốt trong công tác sơ tán người, phương tiện, tài sản, cứu hộ, cứu nạn, bảo đảm an ninh, trật tự an toàn xã hội theo sự điều động của người có thẩm quyền; Tổ chức, cá nhân tình nguyện tham gia hỗ trợ hoạt động phòng, chống thiên tai thực hiện nhiệm vụ theo sự chỉ huy của người có thẩm quyền; Người làm công tác phòng, chống thiên tai tại cơ quan nhà nước thực hiện nhiệm vụ phòng, chống thiên tai.</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Lực lượng xung kích phòng, chống thiên tai cấp xã được thành lập ở cấp xã, hoạt động kiêm nhiệm, do Chủ tịch Ủy ban nhân dân cấp xã quyết định trên cơ sở nguồn nhân lực quy định tại điểm a và điểm b khoản 1 Điều này, bao gồm dân quân ở thôn, ấp, bản, làng, buôn, bon, phum, sóc, tổ dân phố, khu phố, khối phố, khóm, tiểu khu; dân quân ở cấp xã và tổ chức khác tại địa phương thực hiện nhiệm vụ phòng, chống thiên tai theo phương án ứng phó thiên tai của địa phương.</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Luật cũng bổ sung quy định ưu tiên bố trí nguồn lực nghiên cứu, điều tra cơ bản, xây dựng và triển khai các chương trình khoa học và công nghệ trong phòng, chống thiên tai; tăng cường các giải pháp khắc phục hậu quả thiên tai; ưu tiên đào tạo, bồi dưỡng, tập huấn, huấn luyện nâng cao năng lực cho người làm </w:t>
      </w:r>
      <w:r w:rsidRPr="002125C1">
        <w:rPr>
          <w:color w:val="000000" w:themeColor="text1"/>
          <w:sz w:val="28"/>
          <w:szCs w:val="28"/>
        </w:rPr>
        <w:lastRenderedPageBreak/>
        <w:t>công tác phòng, chống thiên tai; huấn luyện, cung cấp phương tiện, trang thiết bị cho lực lượng xung kích phòng, chống thiên tai cấp xã.</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ngân sách Nhà nước cho phòng, chống thiên tai, Luật quy định rõ: Ngân sách nhà nước bảo đảm cho phòng, chống thiên tai bao gồm ngân sách hằng năm, dự phòng ngân sách nhà nước, quỹ dự trữ tài chính. Ngân sách nhà nước cho phòng, chống thiên tai được sử dụng cho xây dựng và thực hiện chiến lược, kế hoạch, điều tra cơ bản phòng, chống thiên tai; đầu tư, xây dựng, tu bổ, nâng cấp công trình phòng, chống thiên tai; hoạt động phòng, chống thiên tai; hoạt động thường xuyên của cơ quan quản lý nhà nước về phòng, chống thiên tai các cấp. Việc lập dự toán, phân bổ, quản lý và sử dụng ngân sách nhà nước cho phòng, chống thiên tai được thực hiện theo quy định của pháp luật về ngân sách nhà nước và quy định khác của pháp luật có liên quan.</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sửa đổi, bổ sung một số điều của Luật Đê điều, Luật quy định việc xây dựng cầu qua sông có đê phải bảo đảm thoát lũ, thông thoáng dòng chảy, an toàn đê điều theo quy định của Luật này và bảo đảm giao thông đường thủy theo quy định của pháp luật về giao thông đường thủy nội địa; vật liệu phế thải và lán trại trong quá trình thi công không được ảnh hưởng đến dòng chảy và phải được thanh thải sau khi công trình hoàn thành. Thủ tướng Chính phủ quy định nội dung bảo đảm thoát lũ, thông thoáng dòng chảy, an toàn đê điều đối với việc xây dựng cầu qua sông có đê.</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Bên cạnh đó, Luật quy định Bộ Công Thương chủ trì, phối hợp với bộ, cơ quan ngang bộ và Ủy ban nhân dân cấp tỉnh chỉ đạo việc xây dựng và thực hiện phương án bảo đảm an toàn các công trình thủy điện, chỉ đạo thực hiện vận hành hồ chứa thủy điện theo quy chuẩn kỹ thuật quốc gia về vận hành hồ chứa thủy điện.</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sẽ có hiệu lực thi hành từ ngày 01 tháng 7 năm 2021./.</w:t>
      </w:r>
    </w:p>
    <w:p w:rsidR="009D39CF" w:rsidRPr="00A4461E" w:rsidRDefault="00A33F84" w:rsidP="002125C1">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VI</w:t>
      </w:r>
      <w:r w:rsidR="008910D2" w:rsidRPr="002125C1">
        <w:rPr>
          <w:color w:val="000000" w:themeColor="text1"/>
          <w:sz w:val="28"/>
          <w:szCs w:val="28"/>
        </w:rPr>
        <w:t xml:space="preserve">. </w:t>
      </w:r>
      <w:r w:rsidR="008910D2" w:rsidRPr="00A4461E">
        <w:rPr>
          <w:caps/>
          <w:color w:val="000000" w:themeColor="text1"/>
          <w:sz w:val="28"/>
          <w:szCs w:val="28"/>
        </w:rPr>
        <w:t xml:space="preserve">Một số nội dung </w:t>
      </w:r>
      <w:r w:rsidR="009D39CF" w:rsidRPr="00A4461E">
        <w:rPr>
          <w:caps/>
          <w:color w:val="000000" w:themeColor="text1"/>
          <w:sz w:val="28"/>
          <w:szCs w:val="28"/>
        </w:rPr>
        <w:t>Luật đầu tư</w:t>
      </w:r>
      <w:r w:rsidR="007B6233" w:rsidRPr="00A4461E">
        <w:rPr>
          <w:caps/>
          <w:color w:val="000000" w:themeColor="text1"/>
          <w:sz w:val="28"/>
          <w:szCs w:val="28"/>
        </w:rPr>
        <w:t xml:space="preserve"> (sửa đổi)</w:t>
      </w:r>
    </w:p>
    <w:p w:rsidR="007B6233" w:rsidRPr="002125C1" w:rsidRDefault="007B6233"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1. Bãi bỏ dịch vụ đòi nợ thuê</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Trong Luật Đầu tư sửa đổi, kinh doanh dịch vụ đòi nợ đã bị loại khỏi Danh mục ngành, nghề đầu tư kinh doanh có điều kiện, mà chính thức được chuyển vào Danh mục ngành, nghề cấm đầu tư kinh doanh.</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cũng quy định điều khoản chuyển tiếp là giao dịch cung cấp dịch vụ đòi nợ trước ngày Luật này có hiệu lực thi hành (01/01/2021) chấm dứt hiệu lực kể từ ngày Luật này có hiệu lực thi hành và các bên tham gia giao dịch được thực hiện các hoạt động để thanh lý giao dịch đòi nợ theo quy định của pháp luật về dân sự và pháp luật có liên quan.</w:t>
      </w:r>
    </w:p>
    <w:p w:rsidR="007B6233" w:rsidRPr="002125C1" w:rsidRDefault="007B6233"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2. Bỏ nhiều ngành, nghề đầu tư kinh doanh có điều kiện</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Những ngành, nghề trước đây thuộc Danh mục ngành, nghề đầu tư kinh doanh có điều kiện nay đã được bãi bỏ, gồm:</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Hoạt động dịch vụ của tổ chức trọng tài thương mại;</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 Sản xuất, sửa chữa chai chứa khí dầu mỏ hóa lỏng (chai LGP);</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giám định thương mại;</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Nhượng quyền thương mại;</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Logistic;</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đại lý tàu biển;</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đào tạo, bồi dưỡng kiến thức về môi giới bất động sản, điều hành sàn giao dịch bất động sản;</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đào tạo, bồi dưỡng kiến thức chuyên môn, nghiệp vụ quản lý, vận hành nhà chung cư;</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xét nghiệm HIV;</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hỗ trợ sinh sản, lưu giữ tinh trùng, lưu giữ phôi;</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xét nghiệm vi sinh vật gây bệnh truyền nhiễm;</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tiêm chủng;</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điều trị nghiện chất dạng thuốc phiện bằng thuốc thay thế;</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phẫu thuật thẩm mỹ;</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thực hiện kỹ thuật mang thai hộ...</w:t>
      </w:r>
    </w:p>
    <w:p w:rsidR="007B6233" w:rsidRPr="002125C1" w:rsidRDefault="007B6233"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3. Bổ sung ngành, nghề kinh doanh có điều kiện</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Các ngành, nghề kinh doanh có điều kiện được bổ sung gồm:</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cai nghiện thuốc lá, điều trị HIV/AISD, chăm sóc người cao tuổi, người khuyết tật, trẻ em;</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nước sạch (nước sinh hoạt);</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kiến trúc;</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phát hành báo chí nhập khẩu;</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Đăng kiểm tàu cá;</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Đào tạo, bồi dưỡng thuyền viên tàu cá...</w:t>
      </w:r>
    </w:p>
    <w:p w:rsidR="007B6233" w:rsidRPr="002125C1" w:rsidRDefault="007B6233"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4. Bổ sung quy định về ưu đãi và hỗ trợ đầu tư đặc biệt</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Chính phủ quyết định áp dụng mức ưu đãi, hỗ trợ đầu tư đặc biệt nhằm khuyến khích phát triển một số dự án đầu tư có tác động lớn đến kinh tế - xã hội, gồm:</w:t>
      </w:r>
      <w:r w:rsidRPr="002125C1">
        <w:rPr>
          <w:color w:val="000000" w:themeColor="text1"/>
          <w:sz w:val="28"/>
          <w:szCs w:val="28"/>
        </w:rPr>
        <w:br/>
        <w:t>- Dự án đầu tư thành lập mới hoặc mở rộng các trung tâm nghiên cứu và phát triển (R&amp;D), trung tâm đổi mới sáng tạo có tổng vốn đầu tư từ 6.000 tỷ đồng trở lên; trung tâm đổi mới sáng tạo quốc gia được thành lập theo quyết định của Thủ tướng Chính phủ;</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 Dự án đầu tư thuộc ngành, nghề đặc biệt ưu đãi đầu tư có quy mô vốn đầu tư từ 30.000 tỷ đồng trở lên, thực hiện giải ngân tối thiểu 10.000 tỷ đồng trong thời hạn 03 năm;</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Các dự án đầu tư khác có tác động lớn đến kinh tế - xã hội theo quyết định của Thủ tướng Chính phủ.</w:t>
      </w:r>
    </w:p>
    <w:p w:rsidR="007B6233" w:rsidRPr="002125C1" w:rsidRDefault="007B6233"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5. 5 trường hợp không phải bảo đảm thực hiện dự án đầu tư</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Nhà đầu tư phải ký quỹ hoặc phải có bảo lãnh ngân hàng về nghĩa vụ ký quỹ để bảo đảm thực hiện dự án đề nghị Nhà nước giao đất, cho thuê đất, cho phép chuyển mục đích sử dụng đất, trừ 05 trường hợp sau đây:</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Nhà đầu tư trúng đấu giá quyền sử dụng đất để thực hiện dự án đầu tư được Nhà nước giao đất có thu tiền sử dụng đất, cho thuê đất thu tiền thuê đất một lần cho cả thời gian thuê;</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Nhà đầu tư trúng đấu thầu thực hiện dự án đầu tư có sử dụng đất;</w:t>
      </w:r>
      <w:r w:rsidRPr="002125C1">
        <w:rPr>
          <w:color w:val="000000" w:themeColor="text1"/>
          <w:sz w:val="28"/>
          <w:szCs w:val="28"/>
        </w:rPr>
        <w:br/>
        <w:t>- Nhà đầu tư được Nhà nước giao đất, cho thuê đất trên cơ sở nhận chuyển nhượng dự án đầu tư đã thực hiện ký quỹ hoặc đã hoàn thành việc góp vốn, huy động vốn theo tiến độ quy định tại Giấy chứng nhận đăng ký đầu tư, văn bản chấp thuận chủ trương đầu tư;</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Nhà đầu tư được Nhà nước giao đất, cho thuê đất để thực hiện dự án đầu tư trên cơ sở nhận chuyển nhượng quyền sử dụng đất, tài sản gắn liền với đất của người sử dụng đất khác;</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Nhà đầu tư là đơn vị sự nghiệp có thu, công ty phát triển khu công nghệ cao được thành lập theo quyết định của cơ quan nhà nước có thẩm quyền để thực hiện dự án đầu tư phát triển kết cấu hạ tầng khu công nghiệp, khu chế xuất, khu công nghệ cao, khu chức năng trong khu kinh tế.</w:t>
      </w:r>
    </w:p>
    <w:p w:rsidR="007B6233" w:rsidRPr="002125C1" w:rsidRDefault="007B6233"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6. Sửa đổi, bổ sung đối tượng được hưởng ưu đãi đầu tư</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Theo Luật Đầu tư sửa đổi, đối tượng được hưởng ưu đãi đầu tư gồm:</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Dự án đầu tư thuộc ngành, nghề ưu đãi đầu tư quy định tại khoản 1 Điều 16 của Luật này;</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Dự án đầu tư tại địa bàn ưu đãi đầu tư quy định tại khoản 2 Điều 16 của Luật này;</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Dự án đầu tư có quy mô vốn từ 6.000 tỷ đồng trở lên, thực hiện giải ngân tối thiểu 6.000 tỷ đồng trong thời hạn 03 năm kể từ ngày được cấp Giấy chứng nhận đăng ký đầu tư hoặc chấp thuận chủ trương đầu tư, đồng thời có một trong các tiêu chí sau: có tổng doanh thu tối thiểu đạt 10.000 tỷ đồng trong một năm trong thời gian chậm nhất sau 03 năm kể từ năm có doanh thu hoặc sử dụng trên 3.000 lao động;</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Dự án xây dựng nhà ở xã hội; dự án đầu tư tại vùng nông thôn sử dụng từ 500 lao động trở lên; dự án sử dụng lao động là người khuyết tật theo quy định của pháp luật về người khuyết tật;</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 Doanh nghiệp công nghệ cao, doanh nghiệp khoa học và công nghệ, tổ chức khoa học và công nghệ; dự án có chuyển giao công nghệ thuộc Danh mục công nghệ khuyến khích chuyển giao theo quy định của pháp luật về chuyển giao công nghệ; cơ sở ươm tạo công nghệ, ươm tạo doanh nghiệp khoa học và công nghệ theo quy định của pháp luật về công nghệ cao;</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Dự án đầu tư khởi nghiệp sáng tạo, trung tâm đổi mới sáng tạo;</w:t>
      </w:r>
    </w:p>
    <w:p w:rsidR="007B6233" w:rsidRPr="002125C1" w:rsidRDefault="007B6233"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Đầu tư kinh doanh chuỗi phân phối sản phẩm của doanh nghiệp nhỏ và vừa; đầu tư kinh doanh cơ sở kỹ thuật hỗ trợ doanh nghiệp nhỏ và vừa, cơ sở ươm tạo doanh nghiệp nhỏ và vừa; đầu tư kinh doanh khu làm việc chung hỗ trợ doanh nghiệp nhỏ và vừa khởi nghiệp sáng tạo theo quy định của pháp luật về hỗ trợ doanh nghiệp nhỏ và vừa.</w:t>
      </w:r>
    </w:p>
    <w:p w:rsidR="009D39CF" w:rsidRPr="002125C1" w:rsidRDefault="009D39CF"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Luật có hiệu lực thi hành kể từ ngày </w:t>
      </w:r>
      <w:r w:rsidR="007B6233" w:rsidRPr="002125C1">
        <w:rPr>
          <w:color w:val="000000" w:themeColor="text1"/>
          <w:sz w:val="28"/>
          <w:szCs w:val="28"/>
        </w:rPr>
        <w:t>0</w:t>
      </w:r>
      <w:r w:rsidRPr="002125C1">
        <w:rPr>
          <w:color w:val="000000" w:themeColor="text1"/>
          <w:sz w:val="28"/>
          <w:szCs w:val="28"/>
        </w:rPr>
        <w:t>1/</w:t>
      </w:r>
      <w:r w:rsidR="007B6233" w:rsidRPr="002125C1">
        <w:rPr>
          <w:color w:val="000000" w:themeColor="text1"/>
          <w:sz w:val="28"/>
          <w:szCs w:val="28"/>
        </w:rPr>
        <w:t>01/</w:t>
      </w:r>
      <w:r w:rsidRPr="002125C1">
        <w:rPr>
          <w:color w:val="000000" w:themeColor="text1"/>
          <w:sz w:val="28"/>
          <w:szCs w:val="28"/>
        </w:rPr>
        <w:t>2021./.</w:t>
      </w:r>
    </w:p>
    <w:p w:rsidR="009D39CF" w:rsidRPr="00A4461E" w:rsidRDefault="00A33F84" w:rsidP="002125C1">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VII</w:t>
      </w:r>
      <w:r w:rsidR="008910D2" w:rsidRPr="002125C1">
        <w:rPr>
          <w:color w:val="000000" w:themeColor="text1"/>
          <w:sz w:val="28"/>
          <w:szCs w:val="28"/>
        </w:rPr>
        <w:t xml:space="preserve">. </w:t>
      </w:r>
      <w:r w:rsidR="00AA2441" w:rsidRPr="00A4461E">
        <w:rPr>
          <w:caps/>
          <w:color w:val="000000" w:themeColor="text1"/>
          <w:sz w:val="28"/>
          <w:szCs w:val="28"/>
        </w:rPr>
        <w:t>Các trường hợp được miễn giấy phép xây dựng theo</w:t>
      </w:r>
      <w:r w:rsidR="009D39CF" w:rsidRPr="00A4461E">
        <w:rPr>
          <w:caps/>
          <w:color w:val="000000" w:themeColor="text1"/>
          <w:sz w:val="28"/>
          <w:szCs w:val="28"/>
        </w:rPr>
        <w:t xml:space="preserve"> Luật sửa đổi, bổ sung một số điều của Luật Xây dựng</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Theo đó, Luật quy định cụ thể các trường hợp được miễn giấy phép xây dựng gồm:</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nhất</w:t>
      </w:r>
      <w:r w:rsidRPr="002125C1">
        <w:rPr>
          <w:rStyle w:val="Emphasis"/>
          <w:color w:val="000000" w:themeColor="text1"/>
          <w:sz w:val="28"/>
          <w:szCs w:val="28"/>
          <w:bdr w:val="none" w:sz="0" w:space="0" w:color="auto" w:frame="1"/>
        </w:rPr>
        <w:t>,</w:t>
      </w:r>
      <w:r w:rsidRPr="002125C1">
        <w:rPr>
          <w:color w:val="000000" w:themeColor="text1"/>
          <w:sz w:val="28"/>
          <w:szCs w:val="28"/>
        </w:rPr>
        <w:t> Công trình </w:t>
      </w:r>
      <w:hyperlink r:id="rId12" w:tgtFrame="_blank" w:history="1">
        <w:r w:rsidRPr="002125C1">
          <w:rPr>
            <w:rStyle w:val="Hyperlink"/>
            <w:bCs/>
            <w:color w:val="000000" w:themeColor="text1"/>
            <w:sz w:val="28"/>
            <w:szCs w:val="28"/>
            <w:u w:val="none"/>
            <w:bdr w:val="none" w:sz="0" w:space="0" w:color="auto" w:frame="1"/>
          </w:rPr>
          <w:t>bí mật nhà nướ</w:t>
        </w:r>
        <w:r w:rsidRPr="002125C1">
          <w:rPr>
            <w:rStyle w:val="Hyperlink"/>
            <w:b/>
            <w:bCs/>
            <w:color w:val="000000" w:themeColor="text1"/>
            <w:sz w:val="28"/>
            <w:szCs w:val="28"/>
            <w:u w:val="none"/>
            <w:bdr w:val="none" w:sz="0" w:space="0" w:color="auto" w:frame="1"/>
          </w:rPr>
          <w:t>c</w:t>
        </w:r>
      </w:hyperlink>
      <w:r w:rsidRPr="002125C1">
        <w:rPr>
          <w:color w:val="000000" w:themeColor="text1"/>
          <w:sz w:val="28"/>
          <w:szCs w:val="28"/>
        </w:rPr>
        <w:t>; công trình xây dựng khẩn cấp.</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hai</w:t>
      </w:r>
      <w:r w:rsidRPr="002125C1">
        <w:rPr>
          <w:rStyle w:val="Emphasis"/>
          <w:color w:val="000000" w:themeColor="text1"/>
          <w:sz w:val="28"/>
          <w:szCs w:val="28"/>
          <w:bdr w:val="none" w:sz="0" w:space="0" w:color="auto" w:frame="1"/>
        </w:rPr>
        <w:t>,</w:t>
      </w:r>
      <w:r w:rsidRPr="002125C1">
        <w:rPr>
          <w:color w:val="000000" w:themeColor="text1"/>
          <w:sz w:val="28"/>
          <w:szCs w:val="28"/>
        </w:rPr>
        <w:t> Công trình thuộc dự án đầu tư xây dựng sử dụng vốn đầu tư công được Thủ tướng Chính phủ,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Chủ tịch Ủy ban nhân dân các cấp quyết định đầu tư.</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So với Luật 2014 thì Luật Xây dựng 2020 đã bổ sung các chủ thể ở trung ương quyết định đầu tư được </w:t>
      </w:r>
      <w:hyperlink r:id="rId13" w:tgtFrame="_blank" w:history="1">
        <w:r w:rsidRPr="002125C1">
          <w:rPr>
            <w:rStyle w:val="Hyperlink"/>
            <w:bCs/>
            <w:color w:val="000000" w:themeColor="text1"/>
            <w:sz w:val="28"/>
            <w:szCs w:val="28"/>
            <w:u w:val="none"/>
            <w:bdr w:val="none" w:sz="0" w:space="0" w:color="auto" w:frame="1"/>
          </w:rPr>
          <w:t>miễn phép xây dựng</w:t>
        </w:r>
      </w:hyperlink>
      <w:r w:rsidRPr="002125C1">
        <w:rPr>
          <w:color w:val="000000" w:themeColor="text1"/>
          <w:sz w:val="28"/>
          <w:szCs w:val="28"/>
        </w:rPr>
        <w:t> như: người đứng đầu cơ quan trung ương của tổ chức chính trị, Viện kiểm sát nhân dân tối cao, Tòa án nhân dân tối cao, Kiểm toán nhà nước, Văn phòng Chủ tịch Nước, Văn phòng Quốc hội, cơ quan trung ương của Mặt trận Tổ quốc Việt Nam và của tổ chức chính trị – xã hội</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ba</w:t>
      </w:r>
      <w:r w:rsidRPr="002125C1">
        <w:rPr>
          <w:rStyle w:val="Emphasis"/>
          <w:color w:val="000000" w:themeColor="text1"/>
          <w:sz w:val="28"/>
          <w:szCs w:val="28"/>
          <w:bdr w:val="none" w:sz="0" w:space="0" w:color="auto" w:frame="1"/>
        </w:rPr>
        <w:t>,</w:t>
      </w:r>
      <w:r w:rsidRPr="002125C1">
        <w:rPr>
          <w:color w:val="000000" w:themeColor="text1"/>
          <w:sz w:val="28"/>
          <w:szCs w:val="28"/>
        </w:rPr>
        <w:t> Công trình xây dựng tạm theo quy định tại Điều 131 của Luật này.</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xây dựng sửa đổi đã thay đổi cụm từ “theo quy định tại Điều 131 của Luật này” thay cho cụm từ “phục vụ thi công xây dựng công trình chính”.</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tư</w:t>
      </w:r>
      <w:r w:rsidRPr="002125C1">
        <w:rPr>
          <w:rStyle w:val="Emphasis"/>
          <w:color w:val="000000" w:themeColor="text1"/>
          <w:sz w:val="28"/>
          <w:szCs w:val="28"/>
          <w:bdr w:val="none" w:sz="0" w:space="0" w:color="auto" w:frame="1"/>
        </w:rPr>
        <w:t>,</w:t>
      </w:r>
      <w:r w:rsidRPr="002125C1">
        <w:rPr>
          <w:color w:val="000000" w:themeColor="text1"/>
          <w:sz w:val="28"/>
          <w:szCs w:val="28"/>
        </w:rPr>
        <w:t xml:space="preserve"> Công trình sửa chữa, cải tạo bên trong công trình hoặc công trình sửa chữa, cải tạo mặt ngoài không tiếp giáp với đường trong đô thị có yêu cầu về quản lý kiến trúc theo quy định của cơ quan nhà nước có thẩm quyền; nội dung sửa chữa, cải tạo không làm thay đổi công năng sử dụng, không làm ảnh hưởng đến an toàn kết cấu chịu lực của công trình, phù hợp với quy hoạch xây dựng đã </w:t>
      </w:r>
      <w:r w:rsidRPr="002125C1">
        <w:rPr>
          <w:color w:val="000000" w:themeColor="text1"/>
          <w:sz w:val="28"/>
          <w:szCs w:val="28"/>
        </w:rPr>
        <w:lastRenderedPageBreak/>
        <w:t>được cơ quan nhà nước có thẩm quyền phê duyệt, yêu cầu về bảo vệ môi trường và an toàn phòng, chống cháy, nổ.</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xây dựng 2020 đã gọp quy định tại điểm g và điểm h của khoản 1 Điều 89 Luật xây dựng 2014 thành một điểm và bổ sung quy định việc cải tạo, sửa chữa công trình phải phù hợp với quy hoạch xây dựng đã được cơ quan nhà nước có thẩm quyền phê duyệt, yêu cầu về </w:t>
      </w:r>
      <w:hyperlink r:id="rId14" w:tgtFrame="_blank" w:history="1">
        <w:r w:rsidRPr="002125C1">
          <w:rPr>
            <w:rStyle w:val="Hyperlink"/>
            <w:b/>
            <w:bCs/>
            <w:color w:val="000000" w:themeColor="text1"/>
            <w:sz w:val="28"/>
            <w:szCs w:val="28"/>
            <w:u w:val="none"/>
            <w:bdr w:val="none" w:sz="0" w:space="0" w:color="auto" w:frame="1"/>
          </w:rPr>
          <w:t>bảo vệ môi trường</w:t>
        </w:r>
      </w:hyperlink>
      <w:r w:rsidRPr="002125C1">
        <w:rPr>
          <w:color w:val="000000" w:themeColor="text1"/>
          <w:sz w:val="28"/>
          <w:szCs w:val="28"/>
        </w:rPr>
        <w:t> và an toàn phòng, chống cháy, nổ.</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năm</w:t>
      </w:r>
      <w:r w:rsidRPr="002125C1">
        <w:rPr>
          <w:rStyle w:val="Emphasis"/>
          <w:color w:val="000000" w:themeColor="text1"/>
          <w:sz w:val="28"/>
          <w:szCs w:val="28"/>
          <w:bdr w:val="none" w:sz="0" w:space="0" w:color="auto" w:frame="1"/>
        </w:rPr>
        <w:t>,</w:t>
      </w:r>
      <w:r w:rsidRPr="002125C1">
        <w:rPr>
          <w:color w:val="000000" w:themeColor="text1"/>
          <w:sz w:val="28"/>
          <w:szCs w:val="28"/>
        </w:rPr>
        <w:t> Công trình quảng cáo không thuộc đối tượng phải cấp giấy phép xây dựng theo quy định của pháp luật về quảng cáo; công trình hạ tầng kỹ thuật viễn thông thụ động theo quy định của Chính phủ.</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Đây là quy định hoàn toàn mới của Luật Xây dựng sửa đổi 2020.</w:t>
      </w:r>
    </w:p>
    <w:p w:rsidR="00AA2441" w:rsidRPr="002125C1" w:rsidRDefault="00AA2441" w:rsidP="002125C1">
      <w:pPr>
        <w:pStyle w:val="Heading2"/>
        <w:shd w:val="clear" w:color="auto" w:fill="FFFFFF"/>
        <w:spacing w:before="120" w:beforeAutospacing="0" w:after="120" w:afterAutospacing="0"/>
        <w:ind w:firstLine="567"/>
        <w:jc w:val="both"/>
        <w:rPr>
          <w:b w:val="0"/>
          <w:color w:val="000000" w:themeColor="text1"/>
          <w:sz w:val="28"/>
          <w:szCs w:val="28"/>
          <w:shd w:val="clear" w:color="auto" w:fill="FFFFFF"/>
        </w:rPr>
      </w:pPr>
      <w:r w:rsidRPr="002125C1">
        <w:rPr>
          <w:rStyle w:val="Emphasis"/>
          <w:bCs w:val="0"/>
          <w:color w:val="000000" w:themeColor="text1"/>
          <w:sz w:val="28"/>
          <w:szCs w:val="28"/>
          <w:bdr w:val="none" w:sz="0" w:space="0" w:color="auto" w:frame="1"/>
          <w:shd w:val="clear" w:color="auto" w:fill="FFFFFF"/>
        </w:rPr>
        <w:t>Thứ sáu,</w:t>
      </w:r>
      <w:r w:rsidRPr="002125C1">
        <w:rPr>
          <w:color w:val="000000" w:themeColor="text1"/>
          <w:sz w:val="28"/>
          <w:szCs w:val="28"/>
          <w:shd w:val="clear" w:color="auto" w:fill="FFFFFF"/>
        </w:rPr>
        <w:t> </w:t>
      </w:r>
      <w:r w:rsidRPr="002125C1">
        <w:rPr>
          <w:b w:val="0"/>
          <w:color w:val="000000" w:themeColor="text1"/>
          <w:sz w:val="28"/>
          <w:szCs w:val="28"/>
          <w:shd w:val="clear" w:color="auto" w:fill="FFFFFF"/>
        </w:rPr>
        <w:t>Công trình xây dựng trên địa bàn hai tỉnh trở lên, công trình xây dựng theo tuyến ngoài đô thị phù hợp với quy hoạch xây dựng hoặc quy hoạch có tính chất kỹ thuật, chuyên ngành đã được cơ quan nhà nước có thẩm quyền phê duyệt.</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Xây dựng 2020 kế thừa quy định của Luật 2014 nhưng bổ sung quy định trường hợp không phù hợp với quy hoạch xây dựng dựng thì có thể phủ hợp quy hoạch có tính chất kỹ thuật, chuyên ngành đã được cơ quan nhà nước có thẩm quyền phê duyệt.</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Emphasis"/>
          <w:b/>
          <w:bCs/>
          <w:color w:val="000000" w:themeColor="text1"/>
          <w:sz w:val="28"/>
          <w:szCs w:val="28"/>
          <w:bdr w:val="none" w:sz="0" w:space="0" w:color="auto" w:frame="1"/>
        </w:rPr>
        <w:t>Thứ bảy,</w:t>
      </w:r>
      <w:r w:rsidRPr="002125C1">
        <w:rPr>
          <w:color w:val="000000" w:themeColor="text1"/>
          <w:sz w:val="28"/>
          <w:szCs w:val="28"/>
        </w:rPr>
        <w:t> Công trình xây dựng đã được cơ quan chuyên môn về xây dựng thông báo kết quả thẩm định thiết kế xây dựng triển khai sau thiết kế cơ sở đủ điều kiện phê duyệt thiết kế xây dựng và đáp ứng các điều kiện về cấp giấy phép xây dựng theo quy định của Luật này.</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tám</w:t>
      </w:r>
      <w:r w:rsidRPr="002125C1">
        <w:rPr>
          <w:rStyle w:val="Emphasis"/>
          <w:color w:val="000000" w:themeColor="text1"/>
          <w:sz w:val="28"/>
          <w:szCs w:val="28"/>
          <w:bdr w:val="none" w:sz="0" w:space="0" w:color="auto" w:frame="1"/>
        </w:rPr>
        <w:t>,</w:t>
      </w:r>
      <w:r w:rsidRPr="002125C1">
        <w:rPr>
          <w:color w:val="000000" w:themeColor="text1"/>
          <w:sz w:val="28"/>
          <w:szCs w:val="28"/>
        </w:rPr>
        <w:t> </w:t>
      </w:r>
      <w:hyperlink r:id="rId15" w:tgtFrame="_blank" w:history="1">
        <w:r w:rsidRPr="002125C1">
          <w:rPr>
            <w:rStyle w:val="Hyperlink"/>
            <w:color w:val="000000" w:themeColor="text1"/>
            <w:sz w:val="28"/>
            <w:szCs w:val="28"/>
            <w:u w:val="none"/>
            <w:bdr w:val="none" w:sz="0" w:space="0" w:color="auto" w:frame="1"/>
          </w:rPr>
          <w:t>Nhà ở riêng lẻ</w:t>
        </w:r>
      </w:hyperlink>
      <w:r w:rsidRPr="002125C1">
        <w:rPr>
          <w:color w:val="000000" w:themeColor="text1"/>
          <w:sz w:val="28"/>
          <w:szCs w:val="28"/>
        </w:rPr>
        <w:t> có quy mô dưới 07 tầng thuộc dự án đầu tư xây dựng khu đô thị, dự án đầu tư xây dựng nhà ở có quy hoạch chi tiết 1/500 đã được cơ quan nhà nước có thẩm quyền phê duyệt.</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Xây dựng 2020 cơ bản kế thừa Luật 2014, tuy nhiên đa bỏ quy định tổng diện tích sàn dưới 500 m</w:t>
      </w:r>
      <w:r w:rsidRPr="002125C1">
        <w:rPr>
          <w:color w:val="000000" w:themeColor="text1"/>
          <w:sz w:val="28"/>
          <w:szCs w:val="28"/>
          <w:bdr w:val="none" w:sz="0" w:space="0" w:color="auto" w:frame="1"/>
          <w:vertAlign w:val="superscript"/>
        </w:rPr>
        <w:t>2</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chín</w:t>
      </w:r>
      <w:r w:rsidRPr="002125C1">
        <w:rPr>
          <w:rStyle w:val="Emphasis"/>
          <w:color w:val="000000" w:themeColor="text1"/>
          <w:sz w:val="28"/>
          <w:szCs w:val="28"/>
          <w:bdr w:val="none" w:sz="0" w:space="0" w:color="auto" w:frame="1"/>
        </w:rPr>
        <w:t>,</w:t>
      </w:r>
      <w:r w:rsidRPr="002125C1">
        <w:rPr>
          <w:color w:val="000000" w:themeColor="text1"/>
          <w:sz w:val="28"/>
          <w:szCs w:val="28"/>
        </w:rPr>
        <w:t> Công trình xây dựng cấp IV, nhà ở riêng lẻ ở nông thôn có quy mô dưới 7 tầng và thuộc khu vực không có quy hoạch đô thị, quy hoạch xây dựng khu chức năng hoặc quy hoạch chi tiết xây dựng điểm dân cư nông thôn đã được cơ quan nhà nước có thẩm quyền phê duyệt; nhà ở riêng lẻ ở miền núi, hải đảo thuộc khu vực không có quy hoạch đô thị, quy hoạch xây dựng khu chức năng; trừ công trình, nhà ở riêng lẻ được xây dựng trong khu bảo tồn, khu di tích lịch sử – văn hóa.</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Xây dựng 2020 đã quy định rõ hơn đối với </w:t>
      </w:r>
      <w:hyperlink r:id="rId16" w:tgtFrame="_blank" w:history="1">
        <w:r w:rsidRPr="002125C1">
          <w:rPr>
            <w:rStyle w:val="Hyperlink"/>
            <w:bCs/>
            <w:color w:val="000000" w:themeColor="text1"/>
            <w:sz w:val="28"/>
            <w:szCs w:val="28"/>
            <w:u w:val="none"/>
            <w:bdr w:val="none" w:sz="0" w:space="0" w:color="auto" w:frame="1"/>
          </w:rPr>
          <w:t>công trình xây dựng ở nông thôn</w:t>
        </w:r>
      </w:hyperlink>
      <w:r w:rsidRPr="002125C1">
        <w:rPr>
          <w:color w:val="000000" w:themeColor="text1"/>
          <w:sz w:val="28"/>
          <w:szCs w:val="28"/>
        </w:rPr>
        <w:t> chỉ có công trình xây dựng cấp IV mới được miễn phép. Trước đây, Luật 2014 quy định: Công trình xây dựng ở nông thôn thuộc khu vực chưa có quy hoạch phát triển đô thị và quy hoạch chi tiết xây dựng được duyệt được miễn phép.</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Luật bổ sung công trình nhà ở riêng lẻ ở nông thôn có quy mô trên 7 tầng phải xin phép; đối với miền núi, hải đảo thì nhà ở riêng lẻ miễn phép.</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Emphasis"/>
          <w:b/>
          <w:bCs/>
          <w:color w:val="000000" w:themeColor="text1"/>
          <w:sz w:val="28"/>
          <w:szCs w:val="28"/>
          <w:bdr w:val="none" w:sz="0" w:space="0" w:color="auto" w:frame="1"/>
        </w:rPr>
        <w:t>Thứ mười,</w:t>
      </w:r>
      <w:r w:rsidRPr="002125C1">
        <w:rPr>
          <w:color w:val="000000" w:themeColor="text1"/>
          <w:sz w:val="28"/>
          <w:szCs w:val="28"/>
        </w:rPr>
        <w:t> Chủ đầu tư xây dựng công trình quy định tại các điểm b, e, g, h và i khoản này, trừ nhà ở riêng lẻ quy định tại điểm i khoản này có trách nhiệm gửi thông báo thời điểm khởi công xây dựng, kèm theo hồ sơ thiết kế xây dựng theo quy định đến cơ quan quản lý nhà nước về xây dựng tại địa phương để quản lý.</w:t>
      </w:r>
    </w:p>
    <w:p w:rsidR="00AA2441" w:rsidRPr="002125C1" w:rsidRDefault="00AA2441"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Như vậy, từ ngày 01/01/2021, Luật Xây dựng sửa đổi 2020 có hiệu lực thi hành thì các quy định về miễn giấy phép xây dựng đã được quy định cụ thể, rõ ràng hơn, thuận lợi cho công tác quản lý cũng như người dân trong việc xây dựng công trình.</w:t>
      </w:r>
    </w:p>
    <w:p w:rsidR="009D39CF" w:rsidRPr="00A4461E" w:rsidRDefault="00A33F84" w:rsidP="002125C1">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VIII</w:t>
      </w:r>
      <w:r w:rsidR="008910D2" w:rsidRPr="002125C1">
        <w:rPr>
          <w:color w:val="000000" w:themeColor="text1"/>
          <w:sz w:val="28"/>
          <w:szCs w:val="28"/>
        </w:rPr>
        <w:t xml:space="preserve">. </w:t>
      </w:r>
      <w:r w:rsidR="008910D2" w:rsidRPr="00A4461E">
        <w:rPr>
          <w:caps/>
          <w:color w:val="000000" w:themeColor="text1"/>
          <w:sz w:val="28"/>
          <w:szCs w:val="28"/>
        </w:rPr>
        <w:t xml:space="preserve">Một số nội dung </w:t>
      </w:r>
      <w:r w:rsidR="009D39CF" w:rsidRPr="00A4461E">
        <w:rPr>
          <w:caps/>
          <w:color w:val="000000" w:themeColor="text1"/>
          <w:sz w:val="28"/>
          <w:szCs w:val="28"/>
        </w:rPr>
        <w:t>Luật sửa đổi, bổ sung một số điều của Luật Ban hành văn bản quy phạm pháp luật</w:t>
      </w:r>
    </w:p>
    <w:p w:rsidR="0056475E" w:rsidRPr="002125C1" w:rsidRDefault="0056475E"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1. Thêm nhiều văn bản được coi là văn bản quy phạm pháp luật</w:t>
      </w:r>
    </w:p>
    <w:p w:rsidR="0056475E" w:rsidRPr="002125C1" w:rsidRDefault="0056475E"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Ngoài các văn bản quy phạm pháp luật như hiện nay, khoản 1 Điều 1 Luật Ban hành văn bản quy phạm pháp luật sửa đổi còn bổ sung thêm một số văn bản khác. Cụ thể là Thông tư liên tịch giữa các chủ thể:</w:t>
      </w:r>
    </w:p>
    <w:p w:rsidR="0056475E" w:rsidRPr="002125C1" w:rsidRDefault="0056475E"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Chánh án Tòa án nhân dân tối cao;</w:t>
      </w:r>
    </w:p>
    <w:p w:rsidR="0056475E" w:rsidRPr="002125C1" w:rsidRDefault="0056475E"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Viện trưởng Viện kiểm sát nhân dân tối cao;</w:t>
      </w:r>
    </w:p>
    <w:p w:rsidR="0056475E" w:rsidRPr="002125C1" w:rsidRDefault="0056475E"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Tổng Kiểm toán nhà nước;</w:t>
      </w:r>
    </w:p>
    <w:p w:rsidR="0056475E" w:rsidRPr="002125C1" w:rsidRDefault="0056475E"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Bộ trưởng, Thủ trưởng cơ quan ngang bộ.</w:t>
      </w:r>
    </w:p>
    <w:p w:rsidR="00C035E9" w:rsidRPr="002125C1" w:rsidRDefault="0056475E"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Các chủ thể này ban hành Thông tư liên tịch để quy định về việc phối hợp của các cơ quan trong việc thực hiện trình tự, thủ tục về tố tụng và phòng, chống tham nhũng </w:t>
      </w:r>
      <w:r w:rsidRPr="002125C1">
        <w:rPr>
          <w:rStyle w:val="Emphasis"/>
          <w:color w:val="000000" w:themeColor="text1"/>
          <w:sz w:val="28"/>
          <w:szCs w:val="28"/>
        </w:rPr>
        <w:t>(thay vì chỉ về trình tự, thủ tục tố tụng như hiện nay)</w:t>
      </w:r>
      <w:r w:rsidRPr="002125C1">
        <w:rPr>
          <w:color w:val="000000" w:themeColor="text1"/>
          <w:sz w:val="28"/>
          <w:szCs w:val="28"/>
        </w:rPr>
        <w:t>.</w:t>
      </w:r>
    </w:p>
    <w:p w:rsidR="0056475E" w:rsidRPr="00976BD5" w:rsidRDefault="0056475E"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w:t>
      </w:r>
      <w:r w:rsidRPr="002125C1">
        <w:rPr>
          <w:rStyle w:val="Strong"/>
          <w:bCs w:val="0"/>
          <w:color w:val="000000" w:themeColor="text1"/>
          <w:sz w:val="28"/>
          <w:szCs w:val="28"/>
        </w:rPr>
        <w:t xml:space="preserve">2. Văn bản có thể bị bãi </w:t>
      </w:r>
      <w:r w:rsidRPr="00976BD5">
        <w:rPr>
          <w:rStyle w:val="Strong"/>
          <w:bCs w:val="0"/>
          <w:color w:val="000000" w:themeColor="text1"/>
          <w:sz w:val="28"/>
          <w:szCs w:val="28"/>
        </w:rPr>
        <w:t>bỏ bởi văn bản của cơ quan khác</w:t>
      </w:r>
    </w:p>
    <w:p w:rsidR="0056475E" w:rsidRPr="00976BD5" w:rsidRDefault="0056475E" w:rsidP="002125C1">
      <w:pPr>
        <w:pStyle w:val="NormalWeb"/>
        <w:shd w:val="clear" w:color="auto" w:fill="FFFFFF"/>
        <w:spacing w:before="120" w:beforeAutospacing="0" w:after="120" w:afterAutospacing="0"/>
        <w:ind w:firstLine="567"/>
        <w:jc w:val="both"/>
        <w:rPr>
          <w:color w:val="000000" w:themeColor="text1"/>
          <w:sz w:val="28"/>
          <w:szCs w:val="28"/>
        </w:rPr>
      </w:pPr>
      <w:r w:rsidRPr="00976BD5">
        <w:rPr>
          <w:color w:val="000000" w:themeColor="text1"/>
          <w:sz w:val="28"/>
          <w:szCs w:val="28"/>
        </w:rPr>
        <w:t>Nếu như khoản 1 Điều 12 </w:t>
      </w:r>
      <w:hyperlink r:id="rId17" w:history="1">
        <w:r w:rsidRPr="00976BD5">
          <w:rPr>
            <w:rStyle w:val="Hyperlink"/>
            <w:color w:val="000000" w:themeColor="text1"/>
            <w:sz w:val="28"/>
            <w:szCs w:val="28"/>
            <w:u w:val="none"/>
          </w:rPr>
          <w:t>Luật Ban hành văn bản quy phạm pháp luật 2015</w:t>
        </w:r>
      </w:hyperlink>
      <w:r w:rsidRPr="00976BD5">
        <w:rPr>
          <w:color w:val="000000" w:themeColor="text1"/>
          <w:sz w:val="28"/>
          <w:szCs w:val="28"/>
        </w:rPr>
        <w:t> quy định:</w:t>
      </w:r>
    </w:p>
    <w:p w:rsidR="0056475E" w:rsidRPr="002125C1" w:rsidRDefault="0056475E" w:rsidP="002125C1">
      <w:pPr>
        <w:pStyle w:val="NormalWeb"/>
        <w:shd w:val="clear" w:color="auto" w:fill="FFFFFF"/>
        <w:spacing w:before="120" w:beforeAutospacing="0" w:after="120" w:afterAutospacing="0"/>
        <w:ind w:firstLine="567"/>
        <w:jc w:val="both"/>
        <w:rPr>
          <w:i/>
          <w:iCs/>
          <w:color w:val="000000" w:themeColor="text1"/>
          <w:sz w:val="28"/>
          <w:szCs w:val="28"/>
        </w:rPr>
      </w:pPr>
      <w:r w:rsidRPr="002125C1">
        <w:rPr>
          <w:i/>
          <w:iCs/>
          <w:color w:val="000000" w:themeColor="text1"/>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w:t>
      </w:r>
      <w:r w:rsidRPr="002125C1">
        <w:rPr>
          <w:rStyle w:val="Emphasis"/>
          <w:b/>
          <w:bCs/>
          <w:color w:val="000000" w:themeColor="text1"/>
          <w:sz w:val="28"/>
          <w:szCs w:val="28"/>
        </w:rPr>
        <w:t>cơ quan Nhà nước cấp trên có thẩm quyền</w:t>
      </w:r>
      <w:r w:rsidRPr="002125C1">
        <w:rPr>
          <w:i/>
          <w:iCs/>
          <w:color w:val="000000" w:themeColor="text1"/>
          <w:sz w:val="28"/>
          <w:szCs w:val="28"/>
        </w:rPr>
        <w:t>.</w:t>
      </w:r>
    </w:p>
    <w:p w:rsidR="0056475E" w:rsidRPr="002125C1" w:rsidRDefault="0056475E" w:rsidP="002125C1">
      <w:pPr>
        <w:pStyle w:val="NormalWeb"/>
        <w:shd w:val="clear" w:color="auto" w:fill="FFFFFF"/>
        <w:spacing w:before="120" w:beforeAutospacing="0" w:after="120" w:afterAutospacing="0"/>
        <w:ind w:firstLine="567"/>
        <w:jc w:val="both"/>
        <w:rPr>
          <w:i/>
          <w:iCs/>
          <w:color w:val="000000" w:themeColor="text1"/>
          <w:sz w:val="28"/>
          <w:szCs w:val="28"/>
        </w:rPr>
      </w:pPr>
      <w:r w:rsidRPr="002125C1">
        <w:rPr>
          <w:color w:val="000000" w:themeColor="text1"/>
          <w:sz w:val="28"/>
          <w:szCs w:val="28"/>
        </w:rPr>
        <w:t>Thì khoản 3 Điều 1 Luật Ban hành văn bản quy phạm pháp luật sửa đổi đã điều chỉnh nội dung này theo hướng phù hợp với thực tiễn, đảm bảo giá trị cho các văn bản được ban hành: “</w:t>
      </w:r>
      <w:r w:rsidRPr="002125C1">
        <w:rPr>
          <w:i/>
          <w:iCs/>
          <w:color w:val="000000" w:themeColor="text1"/>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w:t>
      </w:r>
      <w:r w:rsidRPr="002125C1">
        <w:rPr>
          <w:rStyle w:val="Emphasis"/>
          <w:b/>
          <w:bCs/>
          <w:color w:val="000000" w:themeColor="text1"/>
          <w:sz w:val="28"/>
          <w:szCs w:val="28"/>
        </w:rPr>
        <w:t>cơ quan khác có thẩm quyền”</w:t>
      </w:r>
      <w:r w:rsidRPr="002125C1">
        <w:rPr>
          <w:i/>
          <w:iCs/>
          <w:color w:val="000000" w:themeColor="text1"/>
          <w:sz w:val="28"/>
          <w:szCs w:val="28"/>
        </w:rPr>
        <w:t>.</w:t>
      </w:r>
    </w:p>
    <w:p w:rsidR="00C035E9" w:rsidRPr="002125C1" w:rsidRDefault="00C035E9"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3. Vẫn được áp dụng văn bản cũ dù đã có văn bản mới</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Liên quan đến việc sửa đổi, bổ sung, thay thế, bãi bỏ hoặc đình chỉ việc thi hành văn bản quy phạm pháp luật, cũng theo khoản 3 Điều 1 Luật Ban hành văn bản quy phạm pháp luật sửa đổi:</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Khi ban hành văn bản quy phạm pháp luật, cơ quan ban hành phải sửa đổi, bổ sung, bãi bỏ văn bản, phần, chương, mục, tiểu mục, điều, khoản, điểm của văn bản do mình đã ban hành trái với quy định của văn bản mới ngay trong văn bản mới đó.</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Trường hợp chưa thể sửa đổi, bổ sung ngay thì phải xác định rõ trong văn bản mới danh mục văn bản, phần, chương, mục, tiểu mục, điều, khoản, điểm của văn bản mà mình đã ban hành trái với quy định của văn bản mới và có trách nhiệm sửa đổi, bổ sung trước khi văn bản quy phạm pháp luật mới có hiệu lực.</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Đặc biệt, trường hợp </w:t>
      </w:r>
      <w:r w:rsidRPr="002125C1">
        <w:rPr>
          <w:rStyle w:val="Emphasis"/>
          <w:color w:val="000000" w:themeColor="text1"/>
          <w:sz w:val="28"/>
          <w:szCs w:val="28"/>
        </w:rPr>
        <w:t>văn bản, phần, chương, mục, tiểu mục, điều, khoản, điểm của văn bản đã ban hành có quy định khác với văn bản mới nhưng cần tiếp tục được áp dụng thì phải được chỉ rõ trong văn bản mới</w:t>
      </w:r>
      <w:r w:rsidRPr="002125C1">
        <w:rPr>
          <w:color w:val="000000" w:themeColor="text1"/>
          <w:sz w:val="28"/>
          <w:szCs w:val="28"/>
        </w:rPr>
        <w:t> đó.</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Điều này đồng nghĩa với việc, dù có văn bản mới nhưng văn bản cũ vẫn phù hợp với thực tiễn thì vẫn được áp dụng cho đến thời điểm được quy định trong văn bản mới.</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b/>
          <w:color w:val="000000" w:themeColor="text1"/>
          <w:sz w:val="28"/>
          <w:szCs w:val="28"/>
        </w:rPr>
        <w:t> </w:t>
      </w:r>
      <w:r w:rsidRPr="002125C1">
        <w:rPr>
          <w:rStyle w:val="Strong"/>
          <w:bCs w:val="0"/>
          <w:color w:val="000000" w:themeColor="text1"/>
          <w:sz w:val="28"/>
          <w:szCs w:val="28"/>
        </w:rPr>
        <w:t>4</w:t>
      </w:r>
      <w:r w:rsidRPr="002125C1">
        <w:rPr>
          <w:rStyle w:val="Strong"/>
          <w:b w:val="0"/>
          <w:bCs w:val="0"/>
          <w:color w:val="000000" w:themeColor="text1"/>
          <w:sz w:val="28"/>
          <w:szCs w:val="28"/>
        </w:rPr>
        <w:t xml:space="preserve">. </w:t>
      </w:r>
      <w:r w:rsidRPr="002125C1">
        <w:rPr>
          <w:rStyle w:val="Strong"/>
          <w:bCs w:val="0"/>
          <w:color w:val="000000" w:themeColor="text1"/>
          <w:sz w:val="28"/>
          <w:szCs w:val="28"/>
        </w:rPr>
        <w:t>Thêm trường hợp văn bản được ban hành theo thủ tục rút gọn</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So với hiện nay, Luật sửa đổi, bổ sung một số điều của Luật Ban hành văn bản quy phạm pháp luật đã bổ sung thêm 03 trường hợp văn bản được xây dựng, ban hành theo trình tự, thủ tục rút gọn.</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Và như vậy, tới đây, sẽ có 05 trường hợp xây dựng, ban hành văn bản quy phạm pháp luật theo trình tự, thủ tục rút gọn. Cụ thể:</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Trường hợp để ngưng hiệu lực toàn bộ hoặc một phần của văn bản quy phạm pháp luật để kịp thời bảo vệ lợi ích của Nhà nước, quyền, lợi ích hợp pháp của tổ chức, cá nhân.</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Trường hợp cần sửa đổi ngay cho phù hợp với văn bản quy phạm pháp luật mới được ban hành; cần ban hành ngay văn bản để thực hiện điều ước quốc tế có liên quan mà Cộng hòa xã hội chủ nghĩa Việt Nam là thành viên </w:t>
      </w:r>
      <w:r w:rsidRPr="002125C1">
        <w:rPr>
          <w:rStyle w:val="Emphasis"/>
          <w:color w:val="000000" w:themeColor="text1"/>
          <w:sz w:val="28"/>
          <w:szCs w:val="28"/>
        </w:rPr>
        <w:t>(mới)</w:t>
      </w:r>
      <w:r w:rsidRPr="002125C1">
        <w:rPr>
          <w:color w:val="000000" w:themeColor="text1"/>
          <w:sz w:val="28"/>
          <w:szCs w:val="28"/>
        </w:rPr>
        <w:t>.</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Trường hợp để bãi bỏ một phần hoặc toàn bộ văn bản quy phạm pháp luật trái pháp luật hoặc không còn phù hợp với tình hình phát triển kinh tế - xã hội </w:t>
      </w:r>
      <w:r w:rsidRPr="002125C1">
        <w:rPr>
          <w:rStyle w:val="Emphasis"/>
          <w:color w:val="000000" w:themeColor="text1"/>
          <w:sz w:val="28"/>
          <w:szCs w:val="28"/>
        </w:rPr>
        <w:t>(mới)</w:t>
      </w:r>
      <w:r w:rsidRPr="002125C1">
        <w:rPr>
          <w:color w:val="000000" w:themeColor="text1"/>
          <w:sz w:val="28"/>
          <w:szCs w:val="28"/>
        </w:rPr>
        <w:t>.</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Trường hợp để kéo dài thời hạn áp dụng toàn bộ hoặc một phần của văn bản quy phạm pháp luật trong một thời hạn nhất định để giải quyết những vấn đề cấp bách phát sinh trong thực tiễn </w:t>
      </w:r>
      <w:r w:rsidRPr="002125C1">
        <w:rPr>
          <w:rStyle w:val="Emphasis"/>
          <w:color w:val="000000" w:themeColor="text1"/>
          <w:sz w:val="28"/>
          <w:szCs w:val="28"/>
        </w:rPr>
        <w:t>(mới)</w:t>
      </w:r>
      <w:r w:rsidRPr="002125C1">
        <w:rPr>
          <w:color w:val="000000" w:themeColor="text1"/>
          <w:sz w:val="28"/>
          <w:szCs w:val="28"/>
        </w:rPr>
        <w:t>.</w:t>
      </w:r>
    </w:p>
    <w:p w:rsidR="00C035E9" w:rsidRPr="002125C1" w:rsidRDefault="00C035E9"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Trên đây là một số điểm thay đổi tiêu biểu của Luật sửa đổi, bổ sung một số điều của Luật Ban hành văn bản quy phạm pháp luật so với Luật Ban hành văn bản quy phạm pháp luật 2015.</w:t>
      </w:r>
    </w:p>
    <w:p w:rsidR="00FD49F4" w:rsidRPr="00A4461E" w:rsidRDefault="00812BF5" w:rsidP="002125C1">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IX</w:t>
      </w:r>
      <w:r w:rsidR="008910D2" w:rsidRPr="002125C1">
        <w:rPr>
          <w:color w:val="000000" w:themeColor="text1"/>
          <w:sz w:val="28"/>
          <w:szCs w:val="28"/>
        </w:rPr>
        <w:t xml:space="preserve">. </w:t>
      </w:r>
      <w:r w:rsidR="008910D2" w:rsidRPr="00A4461E">
        <w:rPr>
          <w:caps/>
          <w:color w:val="000000" w:themeColor="text1"/>
          <w:sz w:val="28"/>
          <w:szCs w:val="28"/>
        </w:rPr>
        <w:t xml:space="preserve">Một số </w:t>
      </w:r>
      <w:r w:rsidR="00AD4D92" w:rsidRPr="00A4461E">
        <w:rPr>
          <w:caps/>
          <w:color w:val="000000" w:themeColor="text1"/>
          <w:sz w:val="28"/>
          <w:szCs w:val="28"/>
        </w:rPr>
        <w:t>điểm mới của</w:t>
      </w:r>
      <w:r w:rsidR="008910D2" w:rsidRPr="00A4461E">
        <w:rPr>
          <w:caps/>
          <w:color w:val="000000" w:themeColor="text1"/>
          <w:sz w:val="28"/>
          <w:szCs w:val="28"/>
        </w:rPr>
        <w:t xml:space="preserve"> </w:t>
      </w:r>
      <w:r w:rsidR="00FD49F4" w:rsidRPr="00A4461E">
        <w:rPr>
          <w:caps/>
          <w:color w:val="000000" w:themeColor="text1"/>
          <w:sz w:val="28"/>
          <w:szCs w:val="28"/>
        </w:rPr>
        <w:t>Luật sửa đổi, bổ sung một số điều của Luật Tổ chức Quốc hội</w:t>
      </w:r>
    </w:p>
    <w:p w:rsidR="00AD4D92" w:rsidRPr="002125C1" w:rsidRDefault="00AD4D92"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1. Thêm điều kiện quốc tịch của đại biểu Quốc hội</w:t>
      </w:r>
    </w:p>
    <w:p w:rsidR="00AD4D92" w:rsidRPr="002125C1" w:rsidRDefault="00AD4D92"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Hiện nay, để trở thành đại biểu Quốc hội phải đáp ứng 05 điều kiện là trung thành với Tổ quốc, nhân dân và Hiến pháp; Có phẩm chất đạo đức tốt, cần, kiệm, liêm, chính, chí công vô tư, gương mẫu chấp hành pháp luật; có điều kiện tham gia các hoạt động của Quốc hội…</w:t>
      </w:r>
    </w:p>
    <w:p w:rsidR="00AD4D92" w:rsidRPr="002125C1" w:rsidRDefault="00AD4D92" w:rsidP="002125C1">
      <w:pPr>
        <w:pStyle w:val="NormalWeb"/>
        <w:shd w:val="clear" w:color="auto" w:fill="FFFFFF"/>
        <w:spacing w:before="120" w:beforeAutospacing="0" w:after="120" w:afterAutospacing="0"/>
        <w:ind w:firstLine="567"/>
        <w:jc w:val="both"/>
        <w:rPr>
          <w:color w:val="000000" w:themeColor="text1"/>
          <w:sz w:val="28"/>
          <w:szCs w:val="28"/>
          <w:shd w:val="clear" w:color="auto" w:fill="FFFFFF"/>
        </w:rPr>
      </w:pPr>
      <w:r w:rsidRPr="002125C1">
        <w:rPr>
          <w:color w:val="000000" w:themeColor="text1"/>
          <w:sz w:val="28"/>
          <w:szCs w:val="28"/>
          <w:shd w:val="clear" w:color="auto" w:fill="FFFFFF"/>
        </w:rPr>
        <w:t>Thì nay Luật sửa đổi, bổ sung Luật Tổ chức Quốc hội bổ sung thêm 01 điều kiện nữa là phải có một quốc tịch là quốc tịch Việt Nam. Điều này hoàn toàn phù hợp với thực tiễn cũng như đảm bảo đại biểu Quốc hội là người Việt Nam.</w:t>
      </w:r>
    </w:p>
    <w:p w:rsidR="00AD4D92" w:rsidRPr="002125C1" w:rsidRDefault="00AD4D92" w:rsidP="002125C1">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2. Nâng số lượng đại biểu Quốc hội thêm 5%</w:t>
      </w:r>
    </w:p>
    <w:p w:rsidR="00AD4D92" w:rsidRPr="002125C1" w:rsidRDefault="00AD4D92"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Theo quy định hiện nay, tại </w:t>
      </w:r>
      <w:hyperlink r:id="rId18" w:history="1">
        <w:r w:rsidRPr="002125C1">
          <w:rPr>
            <w:rStyle w:val="Hyperlink"/>
            <w:color w:val="000000" w:themeColor="text1"/>
            <w:sz w:val="28"/>
            <w:szCs w:val="28"/>
            <w:u w:val="none"/>
          </w:rPr>
          <w:t>Điều 23 Luật Tổ chức Quốc hội</w:t>
        </w:r>
      </w:hyperlink>
      <w:r w:rsidRPr="002125C1">
        <w:rPr>
          <w:color w:val="000000" w:themeColor="text1"/>
          <w:sz w:val="28"/>
          <w:szCs w:val="28"/>
        </w:rPr>
        <w:t>, tổng số đại biểu Quốc hội không quá 500 người gồm đại biểu hoạt động chuyên trách và đại biểu hoạt động không chuyên trách.</w:t>
      </w:r>
    </w:p>
    <w:p w:rsidR="00AD4D92" w:rsidRPr="002125C1" w:rsidRDefault="00AD4D92"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Trong đó, số lượng đại biểu Quốc hội hoạt động chuyên trách ít nhất là 30% tổng số đại biểu Quốc hội. Tuy nhiên, Luật sửa đổi này đã nâng số lượng đại biểu Quốc hội hoạt động không chuyên trách lên ít nhất là 40% tổng số đại biểu Quốc hội.</w:t>
      </w:r>
    </w:p>
    <w:p w:rsidR="00AD4D92" w:rsidRPr="002125C1" w:rsidRDefault="00AD4D92"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Quy định này tạo cơ sở pháp lý cho công tác quy hoạch, chuẩn bị nguồn nhân sự để giới thiệu tham gia ứng cử làm đại biểu Quốc hội hoạt động không chuyên trách, góp phần tăng cường tính chuyên nghiệp, góp phần nâng cao hiệu quả hoạt động của Quốc hội. </w:t>
      </w:r>
    </w:p>
    <w:p w:rsidR="00AD4D92" w:rsidRPr="002125C1" w:rsidRDefault="00AD4D92"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bCs w:val="0"/>
          <w:color w:val="000000" w:themeColor="text1"/>
          <w:sz w:val="28"/>
          <w:szCs w:val="28"/>
        </w:rPr>
        <w:t>3. Bổ sung nguyên tắc hoạt động của Ủy ban Thường vụ Quốc hội</w:t>
      </w:r>
    </w:p>
    <w:p w:rsidR="00AD4D92" w:rsidRPr="002125C1" w:rsidRDefault="00AD4D92"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Một trong những nội dung đáng chú ý nữa được đưa vào Luật sửa đổi, bổ sung lần này là việc bổ sung thêm nguyên tắc hoạt động của Ủy ban thường vụ Quốc hội. Trong đó, bổ sung thêm nguyên tắc, cơ quan này sẽ làm việc theo chế độ tập thể và quyết định theo đa số.</w:t>
      </w:r>
    </w:p>
    <w:p w:rsidR="00AD4D92" w:rsidRPr="002125C1" w:rsidRDefault="00AD4D92"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Do đó, những Pháp lệnh, Nghị quyết của Ủy ban thường vụ Quốc hội được thông qua khi có quá nửa tổng số thành viên biểu quyết tán thành.</w:t>
      </w:r>
    </w:p>
    <w:p w:rsidR="00AD4D92" w:rsidRPr="002125C1" w:rsidRDefault="00AD4D92" w:rsidP="002125C1">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Trên đây là tổng hợp 03 </w:t>
      </w:r>
      <w:r w:rsidRPr="002125C1">
        <w:rPr>
          <w:rStyle w:val="Strong"/>
          <w:i/>
          <w:iCs/>
          <w:color w:val="000000" w:themeColor="text1"/>
          <w:sz w:val="28"/>
          <w:szCs w:val="28"/>
        </w:rPr>
        <w:t>điểm mới của Luật Tổ chức quốc hội sửa đổi, bổ sung</w:t>
      </w:r>
      <w:r w:rsidRPr="002125C1">
        <w:rPr>
          <w:color w:val="000000" w:themeColor="text1"/>
          <w:sz w:val="28"/>
          <w:szCs w:val="28"/>
        </w:rPr>
        <w:t>. Luật này sẽ chính thức có hiệu lực từ 01/01/2021</w:t>
      </w:r>
    </w:p>
    <w:p w:rsidR="004B2BEB" w:rsidRPr="00A4461E" w:rsidRDefault="00812BF5" w:rsidP="00812BF5">
      <w:pPr>
        <w:pStyle w:val="Heading1"/>
        <w:shd w:val="clear" w:color="auto" w:fill="FFFFFF"/>
        <w:spacing w:before="120" w:beforeAutospacing="0" w:after="0" w:afterAutospacing="0" w:line="450" w:lineRule="atLeast"/>
        <w:ind w:firstLine="567"/>
        <w:jc w:val="both"/>
        <w:rPr>
          <w:bCs w:val="0"/>
          <w:caps/>
          <w:color w:val="222222"/>
          <w:sz w:val="28"/>
          <w:szCs w:val="28"/>
        </w:rPr>
      </w:pPr>
      <w:r>
        <w:rPr>
          <w:bCs w:val="0"/>
          <w:color w:val="222222"/>
          <w:sz w:val="28"/>
          <w:szCs w:val="28"/>
        </w:rPr>
        <w:t>X</w:t>
      </w:r>
      <w:r w:rsidR="004B2BEB" w:rsidRPr="004B2BEB">
        <w:rPr>
          <w:bCs w:val="0"/>
          <w:color w:val="222222"/>
          <w:sz w:val="28"/>
          <w:szCs w:val="28"/>
        </w:rPr>
        <w:t xml:space="preserve">. </w:t>
      </w:r>
      <w:r w:rsidR="004B2BEB" w:rsidRPr="00A4461E">
        <w:rPr>
          <w:bCs w:val="0"/>
          <w:caps/>
          <w:color w:val="222222"/>
          <w:sz w:val="28"/>
          <w:szCs w:val="28"/>
        </w:rPr>
        <w:t>Một số điểm nổi bật của Luật Đầu tư theo phương thức đối tác công tư</w:t>
      </w:r>
    </w:p>
    <w:p w:rsidR="004B2BEB" w:rsidRPr="004B2BEB" w:rsidRDefault="004B2BEB" w:rsidP="004B2BEB">
      <w:pPr>
        <w:pStyle w:val="Heading2"/>
        <w:shd w:val="clear" w:color="auto" w:fill="FFFFFF"/>
        <w:spacing w:before="0" w:beforeAutospacing="0" w:after="0" w:afterAutospacing="0" w:line="405" w:lineRule="atLeast"/>
        <w:ind w:firstLine="567"/>
        <w:jc w:val="both"/>
        <w:rPr>
          <w:color w:val="000000" w:themeColor="text1"/>
          <w:sz w:val="28"/>
          <w:szCs w:val="28"/>
        </w:rPr>
      </w:pPr>
      <w:r w:rsidRPr="004B2BEB">
        <w:rPr>
          <w:rStyle w:val="Strong"/>
          <w:b/>
          <w:bCs/>
          <w:color w:val="000000" w:themeColor="text1"/>
          <w:sz w:val="28"/>
          <w:szCs w:val="28"/>
        </w:rPr>
        <w:t>1. Chỉ 5 lĩnh vực được đầu tư theo phương thức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lastRenderedPageBreak/>
        <w:t>Điều 4 Luật Đầu tư theo phương thức đối tác công tư liệt kê các lĩnh vực đầu tư theo phương thức PPP bao gồm:</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(1) Giao thông;</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(2) Lưới điện, nhà máy điện;</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(3) Thủy lợi, cung cấp nước sạch, thoát nước, xử lý nước thải, chất thải; (4) Y tế, giáo dục - đào tạo;</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(5) Hạ tầng công nghệ thông tin.</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Trong đó, quy mô tổng mức đầu tư tối thiểu của dự án PPP đối với từng lĩnh vực như sau:</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Không thấp hơn 200 tỷ đồng đối với các dự án thuộc lĩnh vực: Giao thông vận tải; lưới điện; thủy lợi, cung cấp nước sạch, thoát nước và xử lý nước thải, xử lý chất thải và hạ tầng công nghệ thông tin.</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Trường hợp thuộc địa bàn có điều kiện kinh tế - xã hội khó khăn và đặc biệt khó khăn theo pháp luật về đầu tư thì không thấp hơn 100 tỷ đồng.</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Không thấp hơn 100 tỷ đồng đối với các dự án thuộc lĩnh vực: Y tế, giáo dục - đào tạo.</w:t>
      </w:r>
    </w:p>
    <w:p w:rsidR="004B2BEB" w:rsidRPr="004B2BEB" w:rsidRDefault="004B2BEB" w:rsidP="004B2BEB">
      <w:pPr>
        <w:pStyle w:val="Heading2"/>
        <w:shd w:val="clear" w:color="auto" w:fill="FFFFFF"/>
        <w:spacing w:before="0" w:beforeAutospacing="0" w:after="0" w:afterAutospacing="0" w:line="405" w:lineRule="atLeast"/>
        <w:ind w:firstLine="567"/>
        <w:jc w:val="both"/>
        <w:rPr>
          <w:color w:val="000000" w:themeColor="text1"/>
          <w:sz w:val="28"/>
          <w:szCs w:val="28"/>
        </w:rPr>
      </w:pPr>
      <w:r w:rsidRPr="004B2BEB">
        <w:rPr>
          <w:rStyle w:val="Strong"/>
          <w:b/>
          <w:bCs/>
          <w:color w:val="000000" w:themeColor="text1"/>
          <w:sz w:val="28"/>
          <w:szCs w:val="28"/>
        </w:rPr>
        <w:t>2. Thông tin dự án phải công bố trên Hệ thống mạng đấu thầu quốc gia</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Để đảm bảo tính công khai, minh bạch trong đầu tư theo phương thức PPP, Điều 9 của Luật quy định một số thông tin phải được công bố trên Hệ thống mạng đấu thầu quốc gia. Cụ thể:</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Thông tin về quyết định chủ trương đầu tư; quyết định phê duyệt dự án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Thông tin về lựa chọn nhà đầu tư, gồm: Thông báo mời sơ tuyển, thông báo mời thầu, danh sách ngắn, kết quả lựa chọn nhà đầu tư;</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Thông tin về nhà đầu tư được lựa chọn, doanh nghiệp dự án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Nội dung chính của hợp đồng dự án PPP, gồm: Tổng vốn đầu tư; cơ cấu nguồn vốn trong dự án; loại hợp đồng; thời hạn thực hiện dự án (nếu có); giá, phí sản phẩm, dịch vụ; hình thức và địa điểm thu giá, phí (nếu có) và các thông tin cần thiết khác;</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Giá trị quyết toán vốn đầu tư công trong dự án PPP trong trường hợp có sử dụng;</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Văn bản quy phạm pháp luật về đầu tư theo phương thức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Cơ sở dữ liệu về nhà đầu tư;</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Thông tin giải quyết kiến nghị, xử lý vi phạm pháp luật về đầu tư theo phương thức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Ngoài ra, các thông tin này còn được khuyến khích đăng tải trên các phương tiện thông tin đại chúng khác.</w:t>
      </w:r>
    </w:p>
    <w:p w:rsidR="004B2BEB" w:rsidRPr="004B2BEB" w:rsidRDefault="004B2BEB" w:rsidP="004B2BEB">
      <w:pPr>
        <w:pStyle w:val="Heading2"/>
        <w:shd w:val="clear" w:color="auto" w:fill="FFFFFF"/>
        <w:spacing w:before="0" w:beforeAutospacing="0" w:after="0" w:afterAutospacing="0" w:line="405" w:lineRule="atLeast"/>
        <w:ind w:firstLine="567"/>
        <w:jc w:val="both"/>
        <w:rPr>
          <w:color w:val="000000" w:themeColor="text1"/>
          <w:sz w:val="28"/>
          <w:szCs w:val="28"/>
        </w:rPr>
      </w:pPr>
      <w:r w:rsidRPr="004B2BEB">
        <w:rPr>
          <w:rStyle w:val="Strong"/>
          <w:b/>
          <w:bCs/>
          <w:color w:val="000000" w:themeColor="text1"/>
          <w:sz w:val="28"/>
          <w:szCs w:val="28"/>
        </w:rPr>
        <w:t>3. 12 hành vi bị cấm trong đầu tư theo phương thức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Các hành vi này được quy định tại Điều 10 Luật này. Cụ thể:</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lastRenderedPageBreak/>
        <w:t>- Quyết định chủ trương đầu tư dự án PPP không phù hợp với chiến lược, quy hoạch, kế hoạch; không xác định được nguồn vốn Nhà nước trong dự án PPP trường hợp dự án có yêu cầu sử dụng; không đúng thẩm quyền, trình tự, thủ tục;</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Phê duyệt dự án PPP khi chưa có chủ trương đầu tư; không phù hợp với chủ trương đầu tư; không đúng thẩm quyền, trình tự, thủ tục;</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Cơ quan có thẩm quyền, cơ quan ký kết hợp đồng thông đồng với tổ chức tư vấn, nhà đầu tư dẫn tới quyết định chủ trương đầu tư, phê duyệt dự án PPP gây thất thoát vốn, tài sản của Nhà nước, tài nguyên của quốc gia; làm tổn hại, xâm phạm lợi ích của công dân và của cộng đồng;</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Không bảo đảm công bằng, minh bạch trong lựa chọn nhà đầu tư;</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Tiết lộ, tiếp nhận tài liệu, thông tin về quá trình lựa chọn nhà đầu tư;</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Thông thầu;</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Chuyển nhượng cổ phần, phần vốn góp, quyền và nghĩa vụ không đúng quy định của Luật này và hợp đồng dự án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Dừng cung cấp sản phẩm, dịch vụ công ngoài trường hợp quy định tại hợp đồng dự án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Đưa, nhận, môi giới hối lộ;</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Lợi dụng chức vụ, quyền hạn để chiếm đoạt, vụ lợi, tham nhũng trong quản lý và sử dụng vốn nhà nước trong dự án PPP; can thiệp bất hợp pháp vào quy trình thực hiện dự án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Gian lận, làm giả, làm sai lệch thông tin, hồ sơ, tài liệu; cố ý cung cấp thông tin không trung thực, không khách quan;</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Cản trở việc phát hiện, xử lý hành vi vi phạm pháp luật về đầu tư theo phương thức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w:t>
      </w:r>
      <w:r w:rsidRPr="004B2BEB">
        <w:rPr>
          <w:rStyle w:val="Strong"/>
          <w:b w:val="0"/>
          <w:bCs w:val="0"/>
          <w:color w:val="000000" w:themeColor="text1"/>
          <w:sz w:val="28"/>
          <w:szCs w:val="28"/>
        </w:rPr>
        <w:t>4. Quy định chi tiết tư cách hợp lệ của nhà đầu tư</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Không phải nhà đầu tư nào cũng có thể tham gia đầu tư theo phương thức PPP mà chỉ những nhà đầu tư đáp ứng được các điều kiện sau:</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Có đăng ký thành lập, hoạt động do cơ quan có thẩm quyền của nước mà nhà đầu tư đang hoạt động cấp;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Hạch toán tài chính độc lập; bảo đảm cạnh tranh trong lựa chọn nhà đầu tư;</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Không đang trong quá trình giải thể; không thuộc trường hợp mất khả năng thanh toán theo quy định của pháp luật;</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Không đang trong thời gian bị cấm tham gia hoạt động đầu tư theo phương thức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Doanh nghiệp do Nhà nước nắm giữ 100% vốn điều lệ phải liên danh với nhà đầu tư thuộc khu vực tư nhân để tham dự thầu;</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lastRenderedPageBreak/>
        <w:t>- Nhà đầu tư thành lập theo pháp luật nước ngoài phải đáp ứng điều kiện tiếp cận thị trường khi tham dự thầu dự án thuộc ngành, nghề tiếp cận thị trường có điều kiện theo pháp luật về đầu tư.</w:t>
      </w:r>
    </w:p>
    <w:p w:rsidR="004B2BEB" w:rsidRPr="004B2BEB" w:rsidRDefault="004B2BEB" w:rsidP="004B2BEB">
      <w:pPr>
        <w:pStyle w:val="Heading2"/>
        <w:shd w:val="clear" w:color="auto" w:fill="FFFFFF"/>
        <w:spacing w:before="0" w:beforeAutospacing="0" w:after="0" w:afterAutospacing="0" w:line="405" w:lineRule="atLeast"/>
        <w:ind w:firstLine="567"/>
        <w:jc w:val="both"/>
        <w:rPr>
          <w:color w:val="000000" w:themeColor="text1"/>
          <w:sz w:val="28"/>
          <w:szCs w:val="28"/>
        </w:rPr>
      </w:pPr>
      <w:r w:rsidRPr="004B2BEB">
        <w:rPr>
          <w:rStyle w:val="Strong"/>
          <w:b/>
          <w:bCs/>
          <w:color w:val="000000" w:themeColor="text1"/>
          <w:sz w:val="28"/>
          <w:szCs w:val="28"/>
        </w:rPr>
        <w:t>5. Thống nhất lựa chọn nhà đầu tư theo Luật Đầu tư</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Các hình thức lựa chọn nhà đầu tư được áp dụng trong đầu tư theo phương thức PPP như sau:</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rStyle w:val="Emphasis"/>
          <w:color w:val="000000" w:themeColor="text1"/>
          <w:sz w:val="28"/>
          <w:szCs w:val="28"/>
        </w:rPr>
        <w:t>- Đấu thầu rộng rãi</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Là hình thức lựa chọn nhà đầu tư trong đó không hạn chế số lượng nhà đầu tư tham dự.</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Áp dụng cho tất cả dự án PPP, trừ các trường hợp phải được lựa chọn theo hình thức đặc biệt.</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rStyle w:val="Emphasis"/>
          <w:color w:val="000000" w:themeColor="text1"/>
          <w:sz w:val="28"/>
          <w:szCs w:val="28"/>
        </w:rPr>
        <w:t>- Đàm phán cạnh tranh</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Là hình thức lựa chọn nhà đầu tư trong đó chỉ có một số nhà đầu tư đáp ứng yêu cầu thực hiện dự án được mời tham dự.</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Áp dụng trong trường hợp dự án ứng dụng công nghệ cao thuộc danh mục công nghệ cao được ưu tiên đầu tư phát triển theo quy định của pháp luật về công nghệ cao hoặc dự án có yêu cầu công nghệ mới.</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rStyle w:val="Emphasis"/>
          <w:color w:val="000000" w:themeColor="text1"/>
          <w:sz w:val="28"/>
          <w:szCs w:val="28"/>
        </w:rPr>
        <w:t>- Chỉ định nhà đầu tư</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Áp dụng theo một trong các trường hợp: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Dự án cần bảo đảm về quốc phòng, an ninh quốc gia, bí mật Nhà nước;</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Dự án cần lựa chọn ngay nhà đầu tư thay thế để bảo đảm tính liên tục trong quá trình xây dựng công trình, hệ thống cơ sở hạ tầng, cung cấp sản phẩm, dịch vụ công.</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rStyle w:val="Emphasis"/>
          <w:color w:val="000000" w:themeColor="text1"/>
          <w:sz w:val="28"/>
          <w:szCs w:val="28"/>
        </w:rPr>
        <w:t>- Lựa chọn nhà đầu tư trong trường hợp đặc biệt</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Trường hợp dự án xuất hiện các điều kiện đặc thù, riêng biệt mà không thể áp dụng các hình thức lựa chọn nhà đầu tư nêu trên thì cơ quan có thẩm quyền trình Thủ tướng Chính phủ xem xét, quyết định phương án lựa chọn nhà đầu tư.</w:t>
      </w:r>
      <w:r w:rsidRPr="004B2BEB">
        <w:rPr>
          <w:color w:val="000000" w:themeColor="text1"/>
          <w:sz w:val="28"/>
          <w:szCs w:val="28"/>
        </w:rPr>
        <w:br/>
        <w:t> </w:t>
      </w:r>
      <w:r w:rsidRPr="004B2BEB">
        <w:rPr>
          <w:rStyle w:val="Strong"/>
          <w:b w:val="0"/>
          <w:bCs w:val="0"/>
          <w:color w:val="000000" w:themeColor="text1"/>
          <w:sz w:val="28"/>
          <w:szCs w:val="28"/>
        </w:rPr>
        <w:t>6. Doanh nghiệp dự án PPP được thành lập theo dạng công ty</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Theo quy định tại Điều 44, sau khi có quyết định phê duyệt kết quả lựa chọn nhà đầu tư, nhà đầu tư chỉ được thành lập doanh nghiệp dự án PPP theo mô hình công ty trách nhiệm hữu hạn hoặc công ty cổ phần (không được là công ty đại chúng) và có mục đích duy nhất để ký kết, thực hiện hợp đồng dự án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Doanh nghiệp được phát hành, mua lại trái phiếu riêng lẻ do mình đã phát hành, chứng khoán để huy động vốn thực hiện dự án PPP; không được phát hành trái phiếu riêng lẻ chuyển đổi và trái phiếu riêng lẻ kèm chứng quyền.</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Việc phát hành trái phiếu phải đáp ứng đủ 03 điều kiện:</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Số vốn huy động thông qua phát hành trái phiếu không vượt quá giá trị phần vốn vay được xác định tại hợp đồng dự án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lastRenderedPageBreak/>
        <w:t>- Vốn huy động thông qua phát hành trái phiếu không được sử dụng cho bất kỳ mục đích nào ngoài mục đích thực hiện dự án theo hợp đồng dự án PPP hoặc cho việc cơ cấu lại các khoản nợ của doanh nghiệp;</w:t>
      </w:r>
    </w:p>
    <w:p w:rsid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Doanh nghiệp dự án PPP phải mở tài khoản phong tỏa để nhận tiền mua trái phiếu và giải ngân theo đúng quy định.</w:t>
      </w:r>
    </w:p>
    <w:p w:rsidR="004B2BEB" w:rsidRPr="004B2BEB" w:rsidRDefault="004B2BEB" w:rsidP="004B2BEB">
      <w:pPr>
        <w:pStyle w:val="Heading2"/>
        <w:shd w:val="clear" w:color="auto" w:fill="FFFFFF"/>
        <w:spacing w:before="0" w:beforeAutospacing="0" w:after="0" w:afterAutospacing="0" w:line="405" w:lineRule="atLeast"/>
        <w:ind w:firstLine="567"/>
        <w:jc w:val="both"/>
        <w:rPr>
          <w:color w:val="000000" w:themeColor="text1"/>
          <w:sz w:val="28"/>
          <w:szCs w:val="28"/>
        </w:rPr>
      </w:pPr>
      <w:r w:rsidRPr="004B2BEB">
        <w:rPr>
          <w:rStyle w:val="Strong"/>
          <w:b/>
          <w:bCs/>
          <w:color w:val="000000" w:themeColor="text1"/>
          <w:sz w:val="28"/>
          <w:szCs w:val="28"/>
        </w:rPr>
        <w:t>7. Cơ chế chia sẻ phần tăng, giảm doanh thu</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So với dự thảo được trình trước đó, Điều 84 Luật này đã chốt phương án thực hiện cơ chế chia sẻ phần tăng, giảm doanh thu như sau:</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Khi doanh thu thực tế đạt cao hơn 125% mức doanh thu trong phương án tài chính tại hợp đồng dự án PPP, Nhà đầu tư, doanh nghiệp dự án PPP chia sẻ với Nhà nước 50% phần tăng thu giữa doanh thu thực tế đó và doanh thu đạt ở mức 125% doanh thu trong phương án tài chính.</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Nhà nước chia sẻ với nhà đầu tư, doanh nghiệp dự án PPP 50% phần giảm thu giữa doanh thu thực tế và doanh thu cam kết tại hợp đồng đối với dự án PPP đáp ứng được một số điều kiện nhất định.</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Đây được đánh giá là một cơ chế mới, đặc biệt quan trọng trong quá trình thực hiện dự án PPP.</w:t>
      </w:r>
    </w:p>
    <w:p w:rsidR="004B2BEB" w:rsidRPr="004B2BEB" w:rsidRDefault="004B2BEB" w:rsidP="004B2BEB">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Trên đây là một số điểm nổi bật của Luật Đầu tư theo phương thức đối tác công tư.</w:t>
      </w:r>
    </w:p>
    <w:p w:rsidR="004B2BEB" w:rsidRPr="004B2BEB" w:rsidRDefault="004B2BEB" w:rsidP="004B2BEB">
      <w:pPr>
        <w:pStyle w:val="Heading1"/>
        <w:shd w:val="clear" w:color="auto" w:fill="FFFFFF"/>
        <w:spacing w:before="150" w:beforeAutospacing="0" w:after="150" w:afterAutospacing="0" w:line="450" w:lineRule="atLeast"/>
        <w:rPr>
          <w:b w:val="0"/>
          <w:bCs w:val="0"/>
          <w:color w:val="000000" w:themeColor="text1"/>
          <w:sz w:val="28"/>
          <w:szCs w:val="28"/>
        </w:rPr>
      </w:pPr>
    </w:p>
    <w:p w:rsidR="00AD4D92" w:rsidRPr="004B2BEB" w:rsidRDefault="00AD4D92" w:rsidP="007A31CE">
      <w:pPr>
        <w:pStyle w:val="NormalWeb"/>
        <w:shd w:val="clear" w:color="auto" w:fill="FFFFFF"/>
        <w:spacing w:before="0" w:beforeAutospacing="0" w:after="0" w:afterAutospacing="0" w:line="375" w:lineRule="atLeast"/>
        <w:jc w:val="both"/>
        <w:rPr>
          <w:color w:val="000000" w:themeColor="text1"/>
          <w:sz w:val="28"/>
          <w:szCs w:val="28"/>
        </w:rPr>
      </w:pPr>
      <w:bookmarkStart w:id="0" w:name="_GoBack"/>
      <w:bookmarkEnd w:id="0"/>
    </w:p>
    <w:sectPr w:rsidR="00AD4D92" w:rsidRPr="004B2BEB" w:rsidSect="00304786">
      <w:headerReference w:type="default" r:id="rId1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64" w:rsidRDefault="005C0164" w:rsidP="009C3174">
      <w:pPr>
        <w:spacing w:after="0" w:line="240" w:lineRule="auto"/>
      </w:pPr>
      <w:r>
        <w:separator/>
      </w:r>
    </w:p>
  </w:endnote>
  <w:endnote w:type="continuationSeparator" w:id="0">
    <w:p w:rsidR="005C0164" w:rsidRDefault="005C0164" w:rsidP="009C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64" w:rsidRDefault="005C0164" w:rsidP="009C3174">
      <w:pPr>
        <w:spacing w:after="0" w:line="240" w:lineRule="auto"/>
      </w:pPr>
      <w:r>
        <w:separator/>
      </w:r>
    </w:p>
  </w:footnote>
  <w:footnote w:type="continuationSeparator" w:id="0">
    <w:p w:rsidR="005C0164" w:rsidRDefault="005C0164" w:rsidP="009C3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33724"/>
      <w:docPartObj>
        <w:docPartGallery w:val="Page Numbers (Top of Page)"/>
        <w:docPartUnique/>
      </w:docPartObj>
    </w:sdtPr>
    <w:sdtEndPr>
      <w:rPr>
        <w:noProof/>
      </w:rPr>
    </w:sdtEndPr>
    <w:sdtContent>
      <w:p w:rsidR="009C3174" w:rsidRDefault="009C3174">
        <w:pPr>
          <w:pStyle w:val="Header"/>
          <w:jc w:val="center"/>
        </w:pPr>
        <w:r w:rsidRPr="009C3174">
          <w:rPr>
            <w:rFonts w:ascii="Times New Roman" w:hAnsi="Times New Roman" w:cs="Times New Roman"/>
            <w:sz w:val="28"/>
            <w:szCs w:val="28"/>
          </w:rPr>
          <w:fldChar w:fldCharType="begin"/>
        </w:r>
        <w:r w:rsidRPr="009C3174">
          <w:rPr>
            <w:rFonts w:ascii="Times New Roman" w:hAnsi="Times New Roman" w:cs="Times New Roman"/>
            <w:sz w:val="28"/>
            <w:szCs w:val="28"/>
          </w:rPr>
          <w:instrText xml:space="preserve"> PAGE   \* MERGEFORMAT </w:instrText>
        </w:r>
        <w:r w:rsidRPr="009C3174">
          <w:rPr>
            <w:rFonts w:ascii="Times New Roman" w:hAnsi="Times New Roman" w:cs="Times New Roman"/>
            <w:sz w:val="28"/>
            <w:szCs w:val="28"/>
          </w:rPr>
          <w:fldChar w:fldCharType="separate"/>
        </w:r>
        <w:r w:rsidR="0062004C">
          <w:rPr>
            <w:rFonts w:ascii="Times New Roman" w:hAnsi="Times New Roman" w:cs="Times New Roman"/>
            <w:noProof/>
            <w:sz w:val="28"/>
            <w:szCs w:val="28"/>
          </w:rPr>
          <w:t>22</w:t>
        </w:r>
        <w:r w:rsidRPr="009C3174">
          <w:rPr>
            <w:rFonts w:ascii="Times New Roman" w:hAnsi="Times New Roman" w:cs="Times New Roman"/>
            <w:noProof/>
            <w:sz w:val="28"/>
            <w:szCs w:val="28"/>
          </w:rPr>
          <w:fldChar w:fldCharType="end"/>
        </w:r>
      </w:p>
    </w:sdtContent>
  </w:sdt>
  <w:p w:rsidR="009C3174" w:rsidRDefault="009C3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9B"/>
    <w:rsid w:val="000D1DB9"/>
    <w:rsid w:val="001A61A9"/>
    <w:rsid w:val="001C682F"/>
    <w:rsid w:val="002125C1"/>
    <w:rsid w:val="00257D90"/>
    <w:rsid w:val="002741BC"/>
    <w:rsid w:val="002E6145"/>
    <w:rsid w:val="00304786"/>
    <w:rsid w:val="00366FFA"/>
    <w:rsid w:val="004B2BEB"/>
    <w:rsid w:val="00523B93"/>
    <w:rsid w:val="00532E83"/>
    <w:rsid w:val="0056475E"/>
    <w:rsid w:val="00590BA6"/>
    <w:rsid w:val="005A5EC5"/>
    <w:rsid w:val="005C0164"/>
    <w:rsid w:val="0062004C"/>
    <w:rsid w:val="007A31CE"/>
    <w:rsid w:val="007B2798"/>
    <w:rsid w:val="007B6233"/>
    <w:rsid w:val="007C319B"/>
    <w:rsid w:val="007E0663"/>
    <w:rsid w:val="00812BF5"/>
    <w:rsid w:val="008910D2"/>
    <w:rsid w:val="00976BD5"/>
    <w:rsid w:val="009B1B5F"/>
    <w:rsid w:val="009C3174"/>
    <w:rsid w:val="009D39CF"/>
    <w:rsid w:val="00A33F84"/>
    <w:rsid w:val="00A4461E"/>
    <w:rsid w:val="00AA2441"/>
    <w:rsid w:val="00AD4D92"/>
    <w:rsid w:val="00B43CCB"/>
    <w:rsid w:val="00C035E9"/>
    <w:rsid w:val="00F50E24"/>
    <w:rsid w:val="00FD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3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3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9CF"/>
    <w:rPr>
      <w:color w:val="0000FF"/>
      <w:u w:val="single"/>
    </w:rPr>
  </w:style>
  <w:style w:type="character" w:customStyle="1" w:styleId="Heading1Char">
    <w:name w:val="Heading 1 Char"/>
    <w:basedOn w:val="DefaultParagraphFont"/>
    <w:link w:val="Heading1"/>
    <w:uiPriority w:val="9"/>
    <w:rsid w:val="009D39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39CF"/>
    <w:rPr>
      <w:rFonts w:ascii="Times New Roman" w:eastAsia="Times New Roman" w:hAnsi="Times New Roman" w:cs="Times New Roman"/>
      <w:b/>
      <w:bCs/>
      <w:sz w:val="36"/>
      <w:szCs w:val="36"/>
    </w:rPr>
  </w:style>
  <w:style w:type="character" w:styleId="Strong">
    <w:name w:val="Strong"/>
    <w:basedOn w:val="DefaultParagraphFont"/>
    <w:uiPriority w:val="22"/>
    <w:qFormat/>
    <w:rsid w:val="009D39CF"/>
    <w:rPr>
      <w:b/>
      <w:bCs/>
    </w:rPr>
  </w:style>
  <w:style w:type="character" w:styleId="Emphasis">
    <w:name w:val="Emphasis"/>
    <w:basedOn w:val="DefaultParagraphFont"/>
    <w:uiPriority w:val="20"/>
    <w:qFormat/>
    <w:rsid w:val="009D39CF"/>
    <w:rPr>
      <w:i/>
      <w:iCs/>
    </w:rPr>
  </w:style>
  <w:style w:type="paragraph" w:styleId="Header">
    <w:name w:val="header"/>
    <w:basedOn w:val="Normal"/>
    <w:link w:val="HeaderChar"/>
    <w:uiPriority w:val="99"/>
    <w:unhideWhenUsed/>
    <w:rsid w:val="009C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74"/>
  </w:style>
  <w:style w:type="paragraph" w:styleId="Footer">
    <w:name w:val="footer"/>
    <w:basedOn w:val="Normal"/>
    <w:link w:val="FooterChar"/>
    <w:uiPriority w:val="99"/>
    <w:unhideWhenUsed/>
    <w:rsid w:val="009C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3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3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9CF"/>
    <w:rPr>
      <w:color w:val="0000FF"/>
      <w:u w:val="single"/>
    </w:rPr>
  </w:style>
  <w:style w:type="character" w:customStyle="1" w:styleId="Heading1Char">
    <w:name w:val="Heading 1 Char"/>
    <w:basedOn w:val="DefaultParagraphFont"/>
    <w:link w:val="Heading1"/>
    <w:uiPriority w:val="9"/>
    <w:rsid w:val="009D39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39CF"/>
    <w:rPr>
      <w:rFonts w:ascii="Times New Roman" w:eastAsia="Times New Roman" w:hAnsi="Times New Roman" w:cs="Times New Roman"/>
      <w:b/>
      <w:bCs/>
      <w:sz w:val="36"/>
      <w:szCs w:val="36"/>
    </w:rPr>
  </w:style>
  <w:style w:type="character" w:styleId="Strong">
    <w:name w:val="Strong"/>
    <w:basedOn w:val="DefaultParagraphFont"/>
    <w:uiPriority w:val="22"/>
    <w:qFormat/>
    <w:rsid w:val="009D39CF"/>
    <w:rPr>
      <w:b/>
      <w:bCs/>
    </w:rPr>
  </w:style>
  <w:style w:type="character" w:styleId="Emphasis">
    <w:name w:val="Emphasis"/>
    <w:basedOn w:val="DefaultParagraphFont"/>
    <w:uiPriority w:val="20"/>
    <w:qFormat/>
    <w:rsid w:val="009D39CF"/>
    <w:rPr>
      <w:i/>
      <w:iCs/>
    </w:rPr>
  </w:style>
  <w:style w:type="paragraph" w:styleId="Header">
    <w:name w:val="header"/>
    <w:basedOn w:val="Normal"/>
    <w:link w:val="HeaderChar"/>
    <w:uiPriority w:val="99"/>
    <w:unhideWhenUsed/>
    <w:rsid w:val="009C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74"/>
  </w:style>
  <w:style w:type="paragraph" w:styleId="Footer">
    <w:name w:val="footer"/>
    <w:basedOn w:val="Normal"/>
    <w:link w:val="FooterChar"/>
    <w:uiPriority w:val="99"/>
    <w:unhideWhenUsed/>
    <w:rsid w:val="009C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41">
      <w:bodyDiv w:val="1"/>
      <w:marLeft w:val="0"/>
      <w:marRight w:val="0"/>
      <w:marTop w:val="0"/>
      <w:marBottom w:val="0"/>
      <w:divBdr>
        <w:top w:val="none" w:sz="0" w:space="0" w:color="auto"/>
        <w:left w:val="none" w:sz="0" w:space="0" w:color="auto"/>
        <w:bottom w:val="none" w:sz="0" w:space="0" w:color="auto"/>
        <w:right w:val="none" w:sz="0" w:space="0" w:color="auto"/>
      </w:divBdr>
    </w:div>
    <w:div w:id="3946188">
      <w:bodyDiv w:val="1"/>
      <w:marLeft w:val="0"/>
      <w:marRight w:val="0"/>
      <w:marTop w:val="0"/>
      <w:marBottom w:val="0"/>
      <w:divBdr>
        <w:top w:val="none" w:sz="0" w:space="0" w:color="auto"/>
        <w:left w:val="none" w:sz="0" w:space="0" w:color="auto"/>
        <w:bottom w:val="none" w:sz="0" w:space="0" w:color="auto"/>
        <w:right w:val="none" w:sz="0" w:space="0" w:color="auto"/>
      </w:divBdr>
    </w:div>
    <w:div w:id="19823212">
      <w:bodyDiv w:val="1"/>
      <w:marLeft w:val="0"/>
      <w:marRight w:val="0"/>
      <w:marTop w:val="0"/>
      <w:marBottom w:val="0"/>
      <w:divBdr>
        <w:top w:val="none" w:sz="0" w:space="0" w:color="auto"/>
        <w:left w:val="none" w:sz="0" w:space="0" w:color="auto"/>
        <w:bottom w:val="none" w:sz="0" w:space="0" w:color="auto"/>
        <w:right w:val="none" w:sz="0" w:space="0" w:color="auto"/>
      </w:divBdr>
    </w:div>
    <w:div w:id="74086771">
      <w:bodyDiv w:val="1"/>
      <w:marLeft w:val="0"/>
      <w:marRight w:val="0"/>
      <w:marTop w:val="0"/>
      <w:marBottom w:val="0"/>
      <w:divBdr>
        <w:top w:val="none" w:sz="0" w:space="0" w:color="auto"/>
        <w:left w:val="none" w:sz="0" w:space="0" w:color="auto"/>
        <w:bottom w:val="none" w:sz="0" w:space="0" w:color="auto"/>
        <w:right w:val="none" w:sz="0" w:space="0" w:color="auto"/>
      </w:divBdr>
    </w:div>
    <w:div w:id="142623884">
      <w:bodyDiv w:val="1"/>
      <w:marLeft w:val="0"/>
      <w:marRight w:val="0"/>
      <w:marTop w:val="0"/>
      <w:marBottom w:val="0"/>
      <w:divBdr>
        <w:top w:val="none" w:sz="0" w:space="0" w:color="auto"/>
        <w:left w:val="none" w:sz="0" w:space="0" w:color="auto"/>
        <w:bottom w:val="none" w:sz="0" w:space="0" w:color="auto"/>
        <w:right w:val="none" w:sz="0" w:space="0" w:color="auto"/>
      </w:divBdr>
    </w:div>
    <w:div w:id="155609882">
      <w:bodyDiv w:val="1"/>
      <w:marLeft w:val="0"/>
      <w:marRight w:val="0"/>
      <w:marTop w:val="0"/>
      <w:marBottom w:val="0"/>
      <w:divBdr>
        <w:top w:val="none" w:sz="0" w:space="0" w:color="auto"/>
        <w:left w:val="none" w:sz="0" w:space="0" w:color="auto"/>
        <w:bottom w:val="none" w:sz="0" w:space="0" w:color="auto"/>
        <w:right w:val="none" w:sz="0" w:space="0" w:color="auto"/>
      </w:divBdr>
    </w:div>
    <w:div w:id="165290004">
      <w:bodyDiv w:val="1"/>
      <w:marLeft w:val="0"/>
      <w:marRight w:val="0"/>
      <w:marTop w:val="0"/>
      <w:marBottom w:val="0"/>
      <w:divBdr>
        <w:top w:val="none" w:sz="0" w:space="0" w:color="auto"/>
        <w:left w:val="none" w:sz="0" w:space="0" w:color="auto"/>
        <w:bottom w:val="none" w:sz="0" w:space="0" w:color="auto"/>
        <w:right w:val="none" w:sz="0" w:space="0" w:color="auto"/>
      </w:divBdr>
    </w:div>
    <w:div w:id="175971738">
      <w:bodyDiv w:val="1"/>
      <w:marLeft w:val="0"/>
      <w:marRight w:val="0"/>
      <w:marTop w:val="0"/>
      <w:marBottom w:val="0"/>
      <w:divBdr>
        <w:top w:val="none" w:sz="0" w:space="0" w:color="auto"/>
        <w:left w:val="none" w:sz="0" w:space="0" w:color="auto"/>
        <w:bottom w:val="none" w:sz="0" w:space="0" w:color="auto"/>
        <w:right w:val="none" w:sz="0" w:space="0" w:color="auto"/>
      </w:divBdr>
    </w:div>
    <w:div w:id="188684839">
      <w:bodyDiv w:val="1"/>
      <w:marLeft w:val="0"/>
      <w:marRight w:val="0"/>
      <w:marTop w:val="0"/>
      <w:marBottom w:val="0"/>
      <w:divBdr>
        <w:top w:val="none" w:sz="0" w:space="0" w:color="auto"/>
        <w:left w:val="none" w:sz="0" w:space="0" w:color="auto"/>
        <w:bottom w:val="none" w:sz="0" w:space="0" w:color="auto"/>
        <w:right w:val="none" w:sz="0" w:space="0" w:color="auto"/>
      </w:divBdr>
    </w:div>
    <w:div w:id="240144011">
      <w:bodyDiv w:val="1"/>
      <w:marLeft w:val="0"/>
      <w:marRight w:val="0"/>
      <w:marTop w:val="0"/>
      <w:marBottom w:val="0"/>
      <w:divBdr>
        <w:top w:val="none" w:sz="0" w:space="0" w:color="auto"/>
        <w:left w:val="none" w:sz="0" w:space="0" w:color="auto"/>
        <w:bottom w:val="none" w:sz="0" w:space="0" w:color="auto"/>
        <w:right w:val="none" w:sz="0" w:space="0" w:color="auto"/>
      </w:divBdr>
    </w:div>
    <w:div w:id="395788537">
      <w:bodyDiv w:val="1"/>
      <w:marLeft w:val="0"/>
      <w:marRight w:val="0"/>
      <w:marTop w:val="0"/>
      <w:marBottom w:val="0"/>
      <w:divBdr>
        <w:top w:val="none" w:sz="0" w:space="0" w:color="auto"/>
        <w:left w:val="none" w:sz="0" w:space="0" w:color="auto"/>
        <w:bottom w:val="none" w:sz="0" w:space="0" w:color="auto"/>
        <w:right w:val="none" w:sz="0" w:space="0" w:color="auto"/>
      </w:divBdr>
    </w:div>
    <w:div w:id="433136943">
      <w:bodyDiv w:val="1"/>
      <w:marLeft w:val="0"/>
      <w:marRight w:val="0"/>
      <w:marTop w:val="0"/>
      <w:marBottom w:val="0"/>
      <w:divBdr>
        <w:top w:val="none" w:sz="0" w:space="0" w:color="auto"/>
        <w:left w:val="none" w:sz="0" w:space="0" w:color="auto"/>
        <w:bottom w:val="none" w:sz="0" w:space="0" w:color="auto"/>
        <w:right w:val="none" w:sz="0" w:space="0" w:color="auto"/>
      </w:divBdr>
    </w:div>
    <w:div w:id="441653794">
      <w:bodyDiv w:val="1"/>
      <w:marLeft w:val="0"/>
      <w:marRight w:val="0"/>
      <w:marTop w:val="0"/>
      <w:marBottom w:val="0"/>
      <w:divBdr>
        <w:top w:val="none" w:sz="0" w:space="0" w:color="auto"/>
        <w:left w:val="none" w:sz="0" w:space="0" w:color="auto"/>
        <w:bottom w:val="none" w:sz="0" w:space="0" w:color="auto"/>
        <w:right w:val="none" w:sz="0" w:space="0" w:color="auto"/>
      </w:divBdr>
    </w:div>
    <w:div w:id="507912368">
      <w:bodyDiv w:val="1"/>
      <w:marLeft w:val="0"/>
      <w:marRight w:val="0"/>
      <w:marTop w:val="0"/>
      <w:marBottom w:val="0"/>
      <w:divBdr>
        <w:top w:val="none" w:sz="0" w:space="0" w:color="auto"/>
        <w:left w:val="none" w:sz="0" w:space="0" w:color="auto"/>
        <w:bottom w:val="none" w:sz="0" w:space="0" w:color="auto"/>
        <w:right w:val="none" w:sz="0" w:space="0" w:color="auto"/>
      </w:divBdr>
    </w:div>
    <w:div w:id="527793773">
      <w:bodyDiv w:val="1"/>
      <w:marLeft w:val="0"/>
      <w:marRight w:val="0"/>
      <w:marTop w:val="0"/>
      <w:marBottom w:val="0"/>
      <w:divBdr>
        <w:top w:val="none" w:sz="0" w:space="0" w:color="auto"/>
        <w:left w:val="none" w:sz="0" w:space="0" w:color="auto"/>
        <w:bottom w:val="none" w:sz="0" w:space="0" w:color="auto"/>
        <w:right w:val="none" w:sz="0" w:space="0" w:color="auto"/>
      </w:divBdr>
      <w:divsChild>
        <w:div w:id="845286505">
          <w:marLeft w:val="0"/>
          <w:marRight w:val="0"/>
          <w:marTop w:val="0"/>
          <w:marBottom w:val="0"/>
          <w:divBdr>
            <w:top w:val="none" w:sz="0" w:space="0" w:color="auto"/>
            <w:left w:val="none" w:sz="0" w:space="0" w:color="auto"/>
            <w:bottom w:val="none" w:sz="0" w:space="0" w:color="auto"/>
            <w:right w:val="none" w:sz="0" w:space="0" w:color="auto"/>
          </w:divBdr>
          <w:divsChild>
            <w:div w:id="1728799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7642252">
      <w:bodyDiv w:val="1"/>
      <w:marLeft w:val="0"/>
      <w:marRight w:val="0"/>
      <w:marTop w:val="0"/>
      <w:marBottom w:val="0"/>
      <w:divBdr>
        <w:top w:val="none" w:sz="0" w:space="0" w:color="auto"/>
        <w:left w:val="none" w:sz="0" w:space="0" w:color="auto"/>
        <w:bottom w:val="none" w:sz="0" w:space="0" w:color="auto"/>
        <w:right w:val="none" w:sz="0" w:space="0" w:color="auto"/>
      </w:divBdr>
    </w:div>
    <w:div w:id="581449895">
      <w:bodyDiv w:val="1"/>
      <w:marLeft w:val="0"/>
      <w:marRight w:val="0"/>
      <w:marTop w:val="0"/>
      <w:marBottom w:val="0"/>
      <w:divBdr>
        <w:top w:val="none" w:sz="0" w:space="0" w:color="auto"/>
        <w:left w:val="none" w:sz="0" w:space="0" w:color="auto"/>
        <w:bottom w:val="none" w:sz="0" w:space="0" w:color="auto"/>
        <w:right w:val="none" w:sz="0" w:space="0" w:color="auto"/>
      </w:divBdr>
    </w:div>
    <w:div w:id="582883577">
      <w:bodyDiv w:val="1"/>
      <w:marLeft w:val="0"/>
      <w:marRight w:val="0"/>
      <w:marTop w:val="0"/>
      <w:marBottom w:val="0"/>
      <w:divBdr>
        <w:top w:val="none" w:sz="0" w:space="0" w:color="auto"/>
        <w:left w:val="none" w:sz="0" w:space="0" w:color="auto"/>
        <w:bottom w:val="none" w:sz="0" w:space="0" w:color="auto"/>
        <w:right w:val="none" w:sz="0" w:space="0" w:color="auto"/>
      </w:divBdr>
    </w:div>
    <w:div w:id="649939168">
      <w:bodyDiv w:val="1"/>
      <w:marLeft w:val="0"/>
      <w:marRight w:val="0"/>
      <w:marTop w:val="0"/>
      <w:marBottom w:val="0"/>
      <w:divBdr>
        <w:top w:val="none" w:sz="0" w:space="0" w:color="auto"/>
        <w:left w:val="none" w:sz="0" w:space="0" w:color="auto"/>
        <w:bottom w:val="none" w:sz="0" w:space="0" w:color="auto"/>
        <w:right w:val="none" w:sz="0" w:space="0" w:color="auto"/>
      </w:divBdr>
    </w:div>
    <w:div w:id="666327463">
      <w:bodyDiv w:val="1"/>
      <w:marLeft w:val="0"/>
      <w:marRight w:val="0"/>
      <w:marTop w:val="0"/>
      <w:marBottom w:val="0"/>
      <w:divBdr>
        <w:top w:val="none" w:sz="0" w:space="0" w:color="auto"/>
        <w:left w:val="none" w:sz="0" w:space="0" w:color="auto"/>
        <w:bottom w:val="none" w:sz="0" w:space="0" w:color="auto"/>
        <w:right w:val="none" w:sz="0" w:space="0" w:color="auto"/>
      </w:divBdr>
    </w:div>
    <w:div w:id="668019283">
      <w:bodyDiv w:val="1"/>
      <w:marLeft w:val="0"/>
      <w:marRight w:val="0"/>
      <w:marTop w:val="0"/>
      <w:marBottom w:val="0"/>
      <w:divBdr>
        <w:top w:val="none" w:sz="0" w:space="0" w:color="auto"/>
        <w:left w:val="none" w:sz="0" w:space="0" w:color="auto"/>
        <w:bottom w:val="none" w:sz="0" w:space="0" w:color="auto"/>
        <w:right w:val="none" w:sz="0" w:space="0" w:color="auto"/>
      </w:divBdr>
    </w:div>
    <w:div w:id="718556904">
      <w:bodyDiv w:val="1"/>
      <w:marLeft w:val="0"/>
      <w:marRight w:val="0"/>
      <w:marTop w:val="0"/>
      <w:marBottom w:val="0"/>
      <w:divBdr>
        <w:top w:val="none" w:sz="0" w:space="0" w:color="auto"/>
        <w:left w:val="none" w:sz="0" w:space="0" w:color="auto"/>
        <w:bottom w:val="none" w:sz="0" w:space="0" w:color="auto"/>
        <w:right w:val="none" w:sz="0" w:space="0" w:color="auto"/>
      </w:divBdr>
    </w:div>
    <w:div w:id="752749443">
      <w:bodyDiv w:val="1"/>
      <w:marLeft w:val="0"/>
      <w:marRight w:val="0"/>
      <w:marTop w:val="0"/>
      <w:marBottom w:val="0"/>
      <w:divBdr>
        <w:top w:val="none" w:sz="0" w:space="0" w:color="auto"/>
        <w:left w:val="none" w:sz="0" w:space="0" w:color="auto"/>
        <w:bottom w:val="none" w:sz="0" w:space="0" w:color="auto"/>
        <w:right w:val="none" w:sz="0" w:space="0" w:color="auto"/>
      </w:divBdr>
    </w:div>
    <w:div w:id="896432013">
      <w:bodyDiv w:val="1"/>
      <w:marLeft w:val="0"/>
      <w:marRight w:val="0"/>
      <w:marTop w:val="0"/>
      <w:marBottom w:val="0"/>
      <w:divBdr>
        <w:top w:val="none" w:sz="0" w:space="0" w:color="auto"/>
        <w:left w:val="none" w:sz="0" w:space="0" w:color="auto"/>
        <w:bottom w:val="none" w:sz="0" w:space="0" w:color="auto"/>
        <w:right w:val="none" w:sz="0" w:space="0" w:color="auto"/>
      </w:divBdr>
      <w:divsChild>
        <w:div w:id="598489624">
          <w:marLeft w:val="0"/>
          <w:marRight w:val="0"/>
          <w:marTop w:val="75"/>
          <w:marBottom w:val="0"/>
          <w:divBdr>
            <w:top w:val="none" w:sz="0" w:space="0" w:color="auto"/>
            <w:left w:val="none" w:sz="0" w:space="0" w:color="auto"/>
            <w:bottom w:val="none" w:sz="0" w:space="0" w:color="auto"/>
            <w:right w:val="none" w:sz="0" w:space="0" w:color="auto"/>
          </w:divBdr>
        </w:div>
      </w:divsChild>
    </w:div>
    <w:div w:id="960769751">
      <w:bodyDiv w:val="1"/>
      <w:marLeft w:val="0"/>
      <w:marRight w:val="0"/>
      <w:marTop w:val="0"/>
      <w:marBottom w:val="0"/>
      <w:divBdr>
        <w:top w:val="none" w:sz="0" w:space="0" w:color="auto"/>
        <w:left w:val="none" w:sz="0" w:space="0" w:color="auto"/>
        <w:bottom w:val="none" w:sz="0" w:space="0" w:color="auto"/>
        <w:right w:val="none" w:sz="0" w:space="0" w:color="auto"/>
      </w:divBdr>
    </w:div>
    <w:div w:id="962542573">
      <w:bodyDiv w:val="1"/>
      <w:marLeft w:val="0"/>
      <w:marRight w:val="0"/>
      <w:marTop w:val="0"/>
      <w:marBottom w:val="0"/>
      <w:divBdr>
        <w:top w:val="none" w:sz="0" w:space="0" w:color="auto"/>
        <w:left w:val="none" w:sz="0" w:space="0" w:color="auto"/>
        <w:bottom w:val="none" w:sz="0" w:space="0" w:color="auto"/>
        <w:right w:val="none" w:sz="0" w:space="0" w:color="auto"/>
      </w:divBdr>
    </w:div>
    <w:div w:id="970401461">
      <w:bodyDiv w:val="1"/>
      <w:marLeft w:val="0"/>
      <w:marRight w:val="0"/>
      <w:marTop w:val="0"/>
      <w:marBottom w:val="0"/>
      <w:divBdr>
        <w:top w:val="none" w:sz="0" w:space="0" w:color="auto"/>
        <w:left w:val="none" w:sz="0" w:space="0" w:color="auto"/>
        <w:bottom w:val="none" w:sz="0" w:space="0" w:color="auto"/>
        <w:right w:val="none" w:sz="0" w:space="0" w:color="auto"/>
      </w:divBdr>
    </w:div>
    <w:div w:id="1123038332">
      <w:bodyDiv w:val="1"/>
      <w:marLeft w:val="0"/>
      <w:marRight w:val="0"/>
      <w:marTop w:val="0"/>
      <w:marBottom w:val="0"/>
      <w:divBdr>
        <w:top w:val="none" w:sz="0" w:space="0" w:color="auto"/>
        <w:left w:val="none" w:sz="0" w:space="0" w:color="auto"/>
        <w:bottom w:val="none" w:sz="0" w:space="0" w:color="auto"/>
        <w:right w:val="none" w:sz="0" w:space="0" w:color="auto"/>
      </w:divBdr>
    </w:div>
    <w:div w:id="1123157438">
      <w:bodyDiv w:val="1"/>
      <w:marLeft w:val="0"/>
      <w:marRight w:val="0"/>
      <w:marTop w:val="0"/>
      <w:marBottom w:val="0"/>
      <w:divBdr>
        <w:top w:val="none" w:sz="0" w:space="0" w:color="auto"/>
        <w:left w:val="none" w:sz="0" w:space="0" w:color="auto"/>
        <w:bottom w:val="none" w:sz="0" w:space="0" w:color="auto"/>
        <w:right w:val="none" w:sz="0" w:space="0" w:color="auto"/>
      </w:divBdr>
    </w:div>
    <w:div w:id="1151680802">
      <w:bodyDiv w:val="1"/>
      <w:marLeft w:val="0"/>
      <w:marRight w:val="0"/>
      <w:marTop w:val="0"/>
      <w:marBottom w:val="0"/>
      <w:divBdr>
        <w:top w:val="none" w:sz="0" w:space="0" w:color="auto"/>
        <w:left w:val="none" w:sz="0" w:space="0" w:color="auto"/>
        <w:bottom w:val="none" w:sz="0" w:space="0" w:color="auto"/>
        <w:right w:val="none" w:sz="0" w:space="0" w:color="auto"/>
      </w:divBdr>
    </w:div>
    <w:div w:id="1191187390">
      <w:bodyDiv w:val="1"/>
      <w:marLeft w:val="0"/>
      <w:marRight w:val="0"/>
      <w:marTop w:val="0"/>
      <w:marBottom w:val="0"/>
      <w:divBdr>
        <w:top w:val="none" w:sz="0" w:space="0" w:color="auto"/>
        <w:left w:val="none" w:sz="0" w:space="0" w:color="auto"/>
        <w:bottom w:val="none" w:sz="0" w:space="0" w:color="auto"/>
        <w:right w:val="none" w:sz="0" w:space="0" w:color="auto"/>
      </w:divBdr>
    </w:div>
    <w:div w:id="1221867545">
      <w:bodyDiv w:val="1"/>
      <w:marLeft w:val="0"/>
      <w:marRight w:val="0"/>
      <w:marTop w:val="0"/>
      <w:marBottom w:val="0"/>
      <w:divBdr>
        <w:top w:val="none" w:sz="0" w:space="0" w:color="auto"/>
        <w:left w:val="none" w:sz="0" w:space="0" w:color="auto"/>
        <w:bottom w:val="none" w:sz="0" w:space="0" w:color="auto"/>
        <w:right w:val="none" w:sz="0" w:space="0" w:color="auto"/>
      </w:divBdr>
    </w:div>
    <w:div w:id="1245070502">
      <w:bodyDiv w:val="1"/>
      <w:marLeft w:val="0"/>
      <w:marRight w:val="0"/>
      <w:marTop w:val="0"/>
      <w:marBottom w:val="0"/>
      <w:divBdr>
        <w:top w:val="none" w:sz="0" w:space="0" w:color="auto"/>
        <w:left w:val="none" w:sz="0" w:space="0" w:color="auto"/>
        <w:bottom w:val="none" w:sz="0" w:space="0" w:color="auto"/>
        <w:right w:val="none" w:sz="0" w:space="0" w:color="auto"/>
      </w:divBdr>
    </w:div>
    <w:div w:id="1251617296">
      <w:bodyDiv w:val="1"/>
      <w:marLeft w:val="0"/>
      <w:marRight w:val="0"/>
      <w:marTop w:val="0"/>
      <w:marBottom w:val="0"/>
      <w:divBdr>
        <w:top w:val="none" w:sz="0" w:space="0" w:color="auto"/>
        <w:left w:val="none" w:sz="0" w:space="0" w:color="auto"/>
        <w:bottom w:val="none" w:sz="0" w:space="0" w:color="auto"/>
        <w:right w:val="none" w:sz="0" w:space="0" w:color="auto"/>
      </w:divBdr>
    </w:div>
    <w:div w:id="1266423991">
      <w:bodyDiv w:val="1"/>
      <w:marLeft w:val="0"/>
      <w:marRight w:val="0"/>
      <w:marTop w:val="0"/>
      <w:marBottom w:val="0"/>
      <w:divBdr>
        <w:top w:val="none" w:sz="0" w:space="0" w:color="auto"/>
        <w:left w:val="none" w:sz="0" w:space="0" w:color="auto"/>
        <w:bottom w:val="none" w:sz="0" w:space="0" w:color="auto"/>
        <w:right w:val="none" w:sz="0" w:space="0" w:color="auto"/>
      </w:divBdr>
    </w:div>
    <w:div w:id="1284119734">
      <w:bodyDiv w:val="1"/>
      <w:marLeft w:val="0"/>
      <w:marRight w:val="0"/>
      <w:marTop w:val="0"/>
      <w:marBottom w:val="0"/>
      <w:divBdr>
        <w:top w:val="none" w:sz="0" w:space="0" w:color="auto"/>
        <w:left w:val="none" w:sz="0" w:space="0" w:color="auto"/>
        <w:bottom w:val="none" w:sz="0" w:space="0" w:color="auto"/>
        <w:right w:val="none" w:sz="0" w:space="0" w:color="auto"/>
      </w:divBdr>
    </w:div>
    <w:div w:id="1290011910">
      <w:bodyDiv w:val="1"/>
      <w:marLeft w:val="0"/>
      <w:marRight w:val="0"/>
      <w:marTop w:val="0"/>
      <w:marBottom w:val="0"/>
      <w:divBdr>
        <w:top w:val="none" w:sz="0" w:space="0" w:color="auto"/>
        <w:left w:val="none" w:sz="0" w:space="0" w:color="auto"/>
        <w:bottom w:val="none" w:sz="0" w:space="0" w:color="auto"/>
        <w:right w:val="none" w:sz="0" w:space="0" w:color="auto"/>
      </w:divBdr>
    </w:div>
    <w:div w:id="1355689788">
      <w:bodyDiv w:val="1"/>
      <w:marLeft w:val="0"/>
      <w:marRight w:val="0"/>
      <w:marTop w:val="0"/>
      <w:marBottom w:val="0"/>
      <w:divBdr>
        <w:top w:val="none" w:sz="0" w:space="0" w:color="auto"/>
        <w:left w:val="none" w:sz="0" w:space="0" w:color="auto"/>
        <w:bottom w:val="none" w:sz="0" w:space="0" w:color="auto"/>
        <w:right w:val="none" w:sz="0" w:space="0" w:color="auto"/>
      </w:divBdr>
    </w:div>
    <w:div w:id="1425884615">
      <w:bodyDiv w:val="1"/>
      <w:marLeft w:val="0"/>
      <w:marRight w:val="0"/>
      <w:marTop w:val="0"/>
      <w:marBottom w:val="0"/>
      <w:divBdr>
        <w:top w:val="none" w:sz="0" w:space="0" w:color="auto"/>
        <w:left w:val="none" w:sz="0" w:space="0" w:color="auto"/>
        <w:bottom w:val="none" w:sz="0" w:space="0" w:color="auto"/>
        <w:right w:val="none" w:sz="0" w:space="0" w:color="auto"/>
      </w:divBdr>
    </w:div>
    <w:div w:id="1476607902">
      <w:bodyDiv w:val="1"/>
      <w:marLeft w:val="0"/>
      <w:marRight w:val="0"/>
      <w:marTop w:val="0"/>
      <w:marBottom w:val="0"/>
      <w:divBdr>
        <w:top w:val="none" w:sz="0" w:space="0" w:color="auto"/>
        <w:left w:val="none" w:sz="0" w:space="0" w:color="auto"/>
        <w:bottom w:val="none" w:sz="0" w:space="0" w:color="auto"/>
        <w:right w:val="none" w:sz="0" w:space="0" w:color="auto"/>
      </w:divBdr>
    </w:div>
    <w:div w:id="1638951917">
      <w:bodyDiv w:val="1"/>
      <w:marLeft w:val="0"/>
      <w:marRight w:val="0"/>
      <w:marTop w:val="0"/>
      <w:marBottom w:val="0"/>
      <w:divBdr>
        <w:top w:val="none" w:sz="0" w:space="0" w:color="auto"/>
        <w:left w:val="none" w:sz="0" w:space="0" w:color="auto"/>
        <w:bottom w:val="none" w:sz="0" w:space="0" w:color="auto"/>
        <w:right w:val="none" w:sz="0" w:space="0" w:color="auto"/>
      </w:divBdr>
    </w:div>
    <w:div w:id="1661350894">
      <w:bodyDiv w:val="1"/>
      <w:marLeft w:val="0"/>
      <w:marRight w:val="0"/>
      <w:marTop w:val="0"/>
      <w:marBottom w:val="0"/>
      <w:divBdr>
        <w:top w:val="none" w:sz="0" w:space="0" w:color="auto"/>
        <w:left w:val="none" w:sz="0" w:space="0" w:color="auto"/>
        <w:bottom w:val="none" w:sz="0" w:space="0" w:color="auto"/>
        <w:right w:val="none" w:sz="0" w:space="0" w:color="auto"/>
      </w:divBdr>
    </w:div>
    <w:div w:id="1675571103">
      <w:bodyDiv w:val="1"/>
      <w:marLeft w:val="0"/>
      <w:marRight w:val="0"/>
      <w:marTop w:val="0"/>
      <w:marBottom w:val="0"/>
      <w:divBdr>
        <w:top w:val="none" w:sz="0" w:space="0" w:color="auto"/>
        <w:left w:val="none" w:sz="0" w:space="0" w:color="auto"/>
        <w:bottom w:val="none" w:sz="0" w:space="0" w:color="auto"/>
        <w:right w:val="none" w:sz="0" w:space="0" w:color="auto"/>
      </w:divBdr>
    </w:div>
    <w:div w:id="1689868711">
      <w:bodyDiv w:val="1"/>
      <w:marLeft w:val="0"/>
      <w:marRight w:val="0"/>
      <w:marTop w:val="0"/>
      <w:marBottom w:val="0"/>
      <w:divBdr>
        <w:top w:val="none" w:sz="0" w:space="0" w:color="auto"/>
        <w:left w:val="none" w:sz="0" w:space="0" w:color="auto"/>
        <w:bottom w:val="none" w:sz="0" w:space="0" w:color="auto"/>
        <w:right w:val="none" w:sz="0" w:space="0" w:color="auto"/>
      </w:divBdr>
    </w:div>
    <w:div w:id="1766224758">
      <w:bodyDiv w:val="1"/>
      <w:marLeft w:val="0"/>
      <w:marRight w:val="0"/>
      <w:marTop w:val="0"/>
      <w:marBottom w:val="0"/>
      <w:divBdr>
        <w:top w:val="none" w:sz="0" w:space="0" w:color="auto"/>
        <w:left w:val="none" w:sz="0" w:space="0" w:color="auto"/>
        <w:bottom w:val="none" w:sz="0" w:space="0" w:color="auto"/>
        <w:right w:val="none" w:sz="0" w:space="0" w:color="auto"/>
      </w:divBdr>
    </w:div>
    <w:div w:id="1776903714">
      <w:bodyDiv w:val="1"/>
      <w:marLeft w:val="0"/>
      <w:marRight w:val="0"/>
      <w:marTop w:val="0"/>
      <w:marBottom w:val="0"/>
      <w:divBdr>
        <w:top w:val="none" w:sz="0" w:space="0" w:color="auto"/>
        <w:left w:val="none" w:sz="0" w:space="0" w:color="auto"/>
        <w:bottom w:val="none" w:sz="0" w:space="0" w:color="auto"/>
        <w:right w:val="none" w:sz="0" w:space="0" w:color="auto"/>
      </w:divBdr>
    </w:div>
    <w:div w:id="1812751646">
      <w:bodyDiv w:val="1"/>
      <w:marLeft w:val="0"/>
      <w:marRight w:val="0"/>
      <w:marTop w:val="0"/>
      <w:marBottom w:val="0"/>
      <w:divBdr>
        <w:top w:val="none" w:sz="0" w:space="0" w:color="auto"/>
        <w:left w:val="none" w:sz="0" w:space="0" w:color="auto"/>
        <w:bottom w:val="none" w:sz="0" w:space="0" w:color="auto"/>
        <w:right w:val="none" w:sz="0" w:space="0" w:color="auto"/>
      </w:divBdr>
    </w:div>
    <w:div w:id="1866821137">
      <w:bodyDiv w:val="1"/>
      <w:marLeft w:val="0"/>
      <w:marRight w:val="0"/>
      <w:marTop w:val="0"/>
      <w:marBottom w:val="0"/>
      <w:divBdr>
        <w:top w:val="none" w:sz="0" w:space="0" w:color="auto"/>
        <w:left w:val="none" w:sz="0" w:space="0" w:color="auto"/>
        <w:bottom w:val="none" w:sz="0" w:space="0" w:color="auto"/>
        <w:right w:val="none" w:sz="0" w:space="0" w:color="auto"/>
      </w:divBdr>
    </w:div>
    <w:div w:id="1932620391">
      <w:bodyDiv w:val="1"/>
      <w:marLeft w:val="0"/>
      <w:marRight w:val="0"/>
      <w:marTop w:val="0"/>
      <w:marBottom w:val="0"/>
      <w:divBdr>
        <w:top w:val="none" w:sz="0" w:space="0" w:color="auto"/>
        <w:left w:val="none" w:sz="0" w:space="0" w:color="auto"/>
        <w:bottom w:val="none" w:sz="0" w:space="0" w:color="auto"/>
        <w:right w:val="none" w:sz="0" w:space="0" w:color="auto"/>
      </w:divBdr>
    </w:div>
    <w:div w:id="1932733206">
      <w:bodyDiv w:val="1"/>
      <w:marLeft w:val="0"/>
      <w:marRight w:val="0"/>
      <w:marTop w:val="0"/>
      <w:marBottom w:val="0"/>
      <w:divBdr>
        <w:top w:val="none" w:sz="0" w:space="0" w:color="auto"/>
        <w:left w:val="none" w:sz="0" w:space="0" w:color="auto"/>
        <w:bottom w:val="none" w:sz="0" w:space="0" w:color="auto"/>
        <w:right w:val="none" w:sz="0" w:space="0" w:color="auto"/>
      </w:divBdr>
    </w:div>
    <w:div w:id="1971202513">
      <w:bodyDiv w:val="1"/>
      <w:marLeft w:val="0"/>
      <w:marRight w:val="0"/>
      <w:marTop w:val="0"/>
      <w:marBottom w:val="0"/>
      <w:divBdr>
        <w:top w:val="none" w:sz="0" w:space="0" w:color="auto"/>
        <w:left w:val="none" w:sz="0" w:space="0" w:color="auto"/>
        <w:bottom w:val="none" w:sz="0" w:space="0" w:color="auto"/>
        <w:right w:val="none" w:sz="0" w:space="0" w:color="auto"/>
      </w:divBdr>
    </w:div>
    <w:div w:id="2000770173">
      <w:bodyDiv w:val="1"/>
      <w:marLeft w:val="0"/>
      <w:marRight w:val="0"/>
      <w:marTop w:val="0"/>
      <w:marBottom w:val="0"/>
      <w:divBdr>
        <w:top w:val="none" w:sz="0" w:space="0" w:color="auto"/>
        <w:left w:val="none" w:sz="0" w:space="0" w:color="auto"/>
        <w:bottom w:val="none" w:sz="0" w:space="0" w:color="auto"/>
        <w:right w:val="none" w:sz="0" w:space="0" w:color="auto"/>
      </w:divBdr>
    </w:div>
    <w:div w:id="2014185085">
      <w:bodyDiv w:val="1"/>
      <w:marLeft w:val="0"/>
      <w:marRight w:val="0"/>
      <w:marTop w:val="0"/>
      <w:marBottom w:val="0"/>
      <w:divBdr>
        <w:top w:val="none" w:sz="0" w:space="0" w:color="auto"/>
        <w:left w:val="none" w:sz="0" w:space="0" w:color="auto"/>
        <w:bottom w:val="none" w:sz="0" w:space="0" w:color="auto"/>
        <w:right w:val="none" w:sz="0" w:space="0" w:color="auto"/>
      </w:divBdr>
    </w:div>
    <w:div w:id="2028821929">
      <w:bodyDiv w:val="1"/>
      <w:marLeft w:val="0"/>
      <w:marRight w:val="0"/>
      <w:marTop w:val="0"/>
      <w:marBottom w:val="0"/>
      <w:divBdr>
        <w:top w:val="none" w:sz="0" w:space="0" w:color="auto"/>
        <w:left w:val="none" w:sz="0" w:space="0" w:color="auto"/>
        <w:bottom w:val="none" w:sz="0" w:space="0" w:color="auto"/>
        <w:right w:val="none" w:sz="0" w:space="0" w:color="auto"/>
      </w:divBdr>
    </w:div>
    <w:div w:id="2053991659">
      <w:bodyDiv w:val="1"/>
      <w:marLeft w:val="0"/>
      <w:marRight w:val="0"/>
      <w:marTop w:val="0"/>
      <w:marBottom w:val="0"/>
      <w:divBdr>
        <w:top w:val="none" w:sz="0" w:space="0" w:color="auto"/>
        <w:left w:val="none" w:sz="0" w:space="0" w:color="auto"/>
        <w:bottom w:val="none" w:sz="0" w:space="0" w:color="auto"/>
        <w:right w:val="none" w:sz="0" w:space="0" w:color="auto"/>
      </w:divBdr>
    </w:div>
    <w:div w:id="2060086532">
      <w:bodyDiv w:val="1"/>
      <w:marLeft w:val="0"/>
      <w:marRight w:val="0"/>
      <w:marTop w:val="0"/>
      <w:marBottom w:val="0"/>
      <w:divBdr>
        <w:top w:val="none" w:sz="0" w:space="0" w:color="auto"/>
        <w:left w:val="none" w:sz="0" w:space="0" w:color="auto"/>
        <w:bottom w:val="none" w:sz="0" w:space="0" w:color="auto"/>
        <w:right w:val="none" w:sz="0" w:space="0" w:color="auto"/>
      </w:divBdr>
    </w:div>
    <w:div w:id="2106261977">
      <w:bodyDiv w:val="1"/>
      <w:marLeft w:val="0"/>
      <w:marRight w:val="0"/>
      <w:marTop w:val="0"/>
      <w:marBottom w:val="0"/>
      <w:divBdr>
        <w:top w:val="none" w:sz="0" w:space="0" w:color="auto"/>
        <w:left w:val="none" w:sz="0" w:space="0" w:color="auto"/>
        <w:bottom w:val="none" w:sz="0" w:space="0" w:color="auto"/>
        <w:right w:val="none" w:sz="0" w:space="0" w:color="auto"/>
      </w:divBdr>
      <w:divsChild>
        <w:div w:id="190421844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1908224847">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21169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tuc-to-tung/Luat-giam-dinh-tu-phap-sua-doi-422707.aspx" TargetMode="External"/><Relationship Id="rId13" Type="http://schemas.openxmlformats.org/officeDocument/2006/relationships/hyperlink" Target="https://trangtinphapluat.com/blog/bai-viet-hay/vuong-mac-phap-luat/xu-ly-cong-trinh-duoc-mien-giay-phep-xay-dung-nhu-the-nao-cho-dung/" TargetMode="External"/><Relationship Id="rId18" Type="http://schemas.openxmlformats.org/officeDocument/2006/relationships/hyperlink" Target="https://luatvietnam.vn/co-cau-to-chuc/luat-to-chuc-quoc-hoi-91371-d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uvienphapluat.vn/van-ban/thu-tuc-to-tung/Luat-Hoa-giai-doi-thoai-tai-Toa-an-395767.aspx" TargetMode="External"/><Relationship Id="rId12" Type="http://schemas.openxmlformats.org/officeDocument/2006/relationships/hyperlink" Target="https://trangtinphapluat.com/blog/bai-viet-hay/gioi-thieu-van-ban-moi/quy-dinh-ve-xac-dinh-bi-mat-nha-nuoc/" TargetMode="External"/><Relationship Id="rId17" Type="http://schemas.openxmlformats.org/officeDocument/2006/relationships/hyperlink" Target="https://luatvietnam.vn/hanh-chinh/luat-ban-hanh-van-ban-quy-pham-phap-luat-2015-96364-d1.html" TargetMode="External"/><Relationship Id="rId2" Type="http://schemas.microsoft.com/office/2007/relationships/stylesWithEffects" Target="stylesWithEffects.xml"/><Relationship Id="rId16" Type="http://schemas.openxmlformats.org/officeDocument/2006/relationships/hyperlink" Target="https://trangtinphapluat.com/blog/hoi-dap-phap-luat/xay-dung-cong-trinh-o-nong-th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Xay-dung-Do-thi/Luat-de-dieu-2006-79-2006-QH11-15872.aspx" TargetMode="External"/><Relationship Id="rId5" Type="http://schemas.openxmlformats.org/officeDocument/2006/relationships/footnotes" Target="footnotes.xml"/><Relationship Id="rId15" Type="http://schemas.openxmlformats.org/officeDocument/2006/relationships/hyperlink" Target="https://trangtinphapluat.com/blog/bai-viet-hay/lap-phap/quy-dinh-moi-ve-cap-giay-phep-xay-dung-nha-o-rieng-le-nong-thon/" TargetMode="External"/><Relationship Id="rId10" Type="http://schemas.openxmlformats.org/officeDocument/2006/relationships/hyperlink" Target="https://thuvienphapluat.vn/van-ban/Van-hoa-Xa-hoi/Luat-phong-chong-thien-tai-nam-2013-197310.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vietnam.vn/doanh-nghiep/luat-doanh-nghiep-2014-91359-d1.html" TargetMode="External"/><Relationship Id="rId14" Type="http://schemas.openxmlformats.org/officeDocument/2006/relationships/hyperlink" Target="https://trangtinphapluat.com/blog/bai-viet-hay/vuong-mac-phap-luat/nhung-han-che-bat-cap-cua-phap-luat-ve-bao-ve-moi-tr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22</Pages>
  <Words>8226</Words>
  <Characters>46892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2020-07-03T00:51:00Z</dcterms:created>
  <dcterms:modified xsi:type="dcterms:W3CDTF">2319-08-04T07:03:00Z</dcterms:modified>
</cp:coreProperties>
</file>