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1A9" w:rsidRDefault="001A61A9" w:rsidP="001A61A9">
      <w:pPr>
        <w:pStyle w:val="NormalWeb"/>
        <w:shd w:val="clear" w:color="auto" w:fill="FFFFFF"/>
        <w:spacing w:before="0" w:beforeAutospacing="0" w:after="0" w:afterAutospacing="0"/>
        <w:ind w:firstLine="567"/>
        <w:jc w:val="center"/>
        <w:rPr>
          <w:b/>
          <w:caps/>
          <w:spacing w:val="-10"/>
          <w:sz w:val="28"/>
          <w:szCs w:val="28"/>
        </w:rPr>
      </w:pPr>
      <w:r w:rsidRPr="001A61A9">
        <w:rPr>
          <w:b/>
          <w:color w:val="000000" w:themeColor="text1"/>
          <w:sz w:val="28"/>
          <w:szCs w:val="28"/>
        </w:rPr>
        <w:t xml:space="preserve">MỘT SỐ NỘI DUNG QUAN TRỌNG CỦA 10 </w:t>
      </w:r>
      <w:r w:rsidRPr="001A61A9">
        <w:rPr>
          <w:b/>
          <w:caps/>
          <w:spacing w:val="-10"/>
          <w:sz w:val="28"/>
          <w:szCs w:val="28"/>
        </w:rPr>
        <w:t>luật</w:t>
      </w:r>
    </w:p>
    <w:p w:rsidR="001A61A9" w:rsidRDefault="001A61A9" w:rsidP="001A61A9">
      <w:pPr>
        <w:pStyle w:val="NormalWeb"/>
        <w:shd w:val="clear" w:color="auto" w:fill="FFFFFF"/>
        <w:spacing w:before="0" w:beforeAutospacing="0" w:after="0" w:afterAutospacing="0"/>
        <w:ind w:firstLine="567"/>
        <w:jc w:val="center"/>
        <w:rPr>
          <w:b/>
          <w:caps/>
          <w:spacing w:val="-10"/>
          <w:sz w:val="28"/>
          <w:szCs w:val="28"/>
        </w:rPr>
      </w:pPr>
      <w:r w:rsidRPr="001A61A9">
        <w:rPr>
          <w:b/>
          <w:caps/>
          <w:spacing w:val="-10"/>
          <w:sz w:val="28"/>
          <w:szCs w:val="28"/>
        </w:rPr>
        <w:t xml:space="preserve"> được thông qua tại Kỳ họp thứ 9, Quốc hội khóa XIV</w:t>
      </w:r>
    </w:p>
    <w:p w:rsidR="001A61A9" w:rsidRDefault="00257D90" w:rsidP="001A61A9">
      <w:pPr>
        <w:pStyle w:val="NormalWeb"/>
        <w:shd w:val="clear" w:color="auto" w:fill="FFFFFF"/>
        <w:spacing w:before="0" w:beforeAutospacing="0" w:after="0" w:afterAutospacing="0"/>
        <w:ind w:firstLine="567"/>
        <w:jc w:val="center"/>
        <w:rPr>
          <w:i/>
          <w:color w:val="000000" w:themeColor="text1"/>
        </w:rPr>
      </w:pPr>
      <w:r w:rsidRPr="001A61A9">
        <w:rPr>
          <w:i/>
          <w:color w:val="000000" w:themeColor="text1"/>
        </w:rPr>
        <w:t>(</w:t>
      </w:r>
      <w:r w:rsidR="001A61A9" w:rsidRPr="001A61A9">
        <w:rPr>
          <w:i/>
          <w:color w:val="000000" w:themeColor="text1"/>
        </w:rPr>
        <w:t xml:space="preserve">Ban hành </w:t>
      </w:r>
      <w:r w:rsidRPr="001A61A9">
        <w:rPr>
          <w:i/>
          <w:color w:val="000000" w:themeColor="text1"/>
        </w:rPr>
        <w:t>Kèm theo Công văn</w:t>
      </w:r>
      <w:r w:rsidR="001A61A9" w:rsidRPr="001A61A9">
        <w:rPr>
          <w:i/>
          <w:color w:val="000000" w:themeColor="text1"/>
        </w:rPr>
        <w:t xml:space="preserve"> số…</w:t>
      </w:r>
      <w:r w:rsidRPr="001A61A9">
        <w:rPr>
          <w:i/>
          <w:color w:val="000000" w:themeColor="text1"/>
        </w:rPr>
        <w:t>….</w:t>
      </w:r>
      <w:r w:rsidR="001A61A9" w:rsidRPr="001A61A9">
        <w:rPr>
          <w:i/>
          <w:color w:val="000000" w:themeColor="text1"/>
        </w:rPr>
        <w:t>/STP-PBGDPL ngày   tháng 7 năm 2020</w:t>
      </w:r>
    </w:p>
    <w:p w:rsidR="00257D90" w:rsidRDefault="001A61A9" w:rsidP="001A61A9">
      <w:pPr>
        <w:pStyle w:val="NormalWeb"/>
        <w:shd w:val="clear" w:color="auto" w:fill="FFFFFF"/>
        <w:spacing w:before="0" w:beforeAutospacing="0" w:after="0" w:afterAutospacing="0"/>
        <w:ind w:firstLine="567"/>
        <w:jc w:val="center"/>
        <w:rPr>
          <w:i/>
          <w:color w:val="000000" w:themeColor="text1"/>
        </w:rPr>
      </w:pPr>
      <w:r w:rsidRPr="001A61A9">
        <w:rPr>
          <w:i/>
          <w:color w:val="000000" w:themeColor="text1"/>
        </w:rPr>
        <w:t xml:space="preserve"> của Sở Tư pháp tỉnh Lai Châu</w:t>
      </w:r>
      <w:r w:rsidR="00257D90" w:rsidRPr="001A61A9">
        <w:rPr>
          <w:i/>
          <w:color w:val="000000" w:themeColor="text1"/>
        </w:rPr>
        <w:t>)</w:t>
      </w:r>
    </w:p>
    <w:p w:rsidR="001A61A9" w:rsidRPr="001A61A9" w:rsidRDefault="001A61A9" w:rsidP="001A61A9">
      <w:pPr>
        <w:pStyle w:val="NormalWeb"/>
        <w:shd w:val="clear" w:color="auto" w:fill="FFFFFF"/>
        <w:spacing w:before="0" w:beforeAutospacing="0" w:after="0" w:afterAutospacing="0"/>
        <w:ind w:firstLine="567"/>
        <w:jc w:val="center"/>
        <w:rPr>
          <w:i/>
          <w:color w:val="000000" w:themeColor="text1"/>
        </w:rPr>
      </w:pPr>
    </w:p>
    <w:p w:rsidR="009D39CF" w:rsidRPr="002125C1" w:rsidRDefault="005C0164" w:rsidP="00B43CCB">
      <w:pPr>
        <w:pStyle w:val="NormalWeb"/>
        <w:shd w:val="clear" w:color="auto" w:fill="FFFFFF"/>
        <w:spacing w:before="0" w:beforeAutospacing="0" w:after="150" w:afterAutospacing="0"/>
        <w:ind w:firstLine="567"/>
        <w:jc w:val="both"/>
        <w:rPr>
          <w:b/>
          <w:color w:val="000000" w:themeColor="text1"/>
          <w:sz w:val="28"/>
          <w:szCs w:val="28"/>
        </w:rPr>
      </w:pPr>
      <w:hyperlink r:id="rId7" w:tgtFrame="_blank" w:history="1">
        <w:r w:rsidR="00A33F84">
          <w:rPr>
            <w:rStyle w:val="Hyperlink"/>
            <w:b/>
            <w:color w:val="000000" w:themeColor="text1"/>
            <w:sz w:val="28"/>
            <w:szCs w:val="28"/>
            <w:u w:val="none"/>
          </w:rPr>
          <w:t>I</w:t>
        </w:r>
        <w:r w:rsidR="00257D90" w:rsidRPr="002125C1">
          <w:rPr>
            <w:rStyle w:val="Hyperlink"/>
            <w:b/>
            <w:color w:val="000000" w:themeColor="text1"/>
            <w:sz w:val="28"/>
            <w:szCs w:val="28"/>
            <w:u w:val="none"/>
          </w:rPr>
          <w:t xml:space="preserve">. </w:t>
        </w:r>
      </w:hyperlink>
      <w:r w:rsidR="005A5EC5">
        <w:rPr>
          <w:rStyle w:val="Hyperlink"/>
          <w:b/>
          <w:color w:val="000000" w:themeColor="text1"/>
          <w:sz w:val="28"/>
          <w:szCs w:val="28"/>
          <w:u w:val="none"/>
        </w:rPr>
        <w:t xml:space="preserve">MỘT SỐ NỘI DUNG LUẬT HÒA GIẢI, ĐỐI THOẠI TẠI TÒA ÁN </w:t>
      </w:r>
    </w:p>
    <w:p w:rsidR="009D39CF" w:rsidRPr="002125C1" w:rsidRDefault="00257D90"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V</w:t>
      </w:r>
      <w:r w:rsidR="009D39CF" w:rsidRPr="002125C1">
        <w:rPr>
          <w:color w:val="000000" w:themeColor="text1"/>
          <w:sz w:val="28"/>
          <w:szCs w:val="28"/>
        </w:rPr>
        <w:t xml:space="preserve">ề phạm vi điều chỉnh, Luật </w:t>
      </w:r>
      <w:r w:rsidRPr="002125C1">
        <w:rPr>
          <w:color w:val="000000" w:themeColor="text1"/>
          <w:sz w:val="28"/>
          <w:szCs w:val="28"/>
        </w:rPr>
        <w:t>Hòa giải, đối thoại tại Tòa án</w:t>
      </w:r>
      <w:r w:rsidR="009D39CF" w:rsidRPr="002125C1">
        <w:rPr>
          <w:color w:val="000000" w:themeColor="text1"/>
          <w:sz w:val="28"/>
          <w:szCs w:val="28"/>
        </w:rPr>
        <w:t xml:space="preserve"> quy định nguyên tắc, chính sách của Nhà nước về hòa giải, đối thoại tại Tòa án; quyền, nghĩa vụ của Hòa giải viên tại Tòa án, các bên tham gia hòa giải, đối thoại tại Tòa án; trách nhiệm của Tòa án đối với công tác hòa giải, đối thoại; trình tự, thủ tục hòa giải, đối thoại; công nhận kết quả hòa giải thành, đối thoại thành tại Tòa án.</w:t>
      </w:r>
    </w:p>
    <w:p w:rsidR="009D39CF" w:rsidRPr="002125C1" w:rsidRDefault="009D39CF"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xml:space="preserve">Hòa giải, đối thoại theo quy định của Luật </w:t>
      </w:r>
      <w:r w:rsidR="00257D90" w:rsidRPr="002125C1">
        <w:rPr>
          <w:color w:val="000000" w:themeColor="text1"/>
          <w:sz w:val="28"/>
          <w:szCs w:val="28"/>
        </w:rPr>
        <w:t>Hòa giải, đối thoại tại Tòa án</w:t>
      </w:r>
      <w:r w:rsidRPr="002125C1">
        <w:rPr>
          <w:color w:val="000000" w:themeColor="text1"/>
          <w:sz w:val="28"/>
          <w:szCs w:val="28"/>
        </w:rPr>
        <w:t xml:space="preserve"> được thực hiện trước khi Tòa án thụ lý đơn khởi kiện vụ án về tranh chấp dân sự, hôn nhân và gia đình, kinh doanh, thương mại, lao động; đơn yêu cầu công nhận thuận tình ly hôn; đơn khởi kiện vụ án hành chính thuộc thẩm quyền giải quyết của Tòa án theo quy định của Bộ luật Tố tụng dân sự, Luật Tố tụng hành chính. Luật </w:t>
      </w:r>
      <w:r w:rsidR="00257D90" w:rsidRPr="002125C1">
        <w:rPr>
          <w:color w:val="000000" w:themeColor="text1"/>
          <w:sz w:val="28"/>
          <w:szCs w:val="28"/>
        </w:rPr>
        <w:t>Hòa giải, đối thoại tại Tòa án</w:t>
      </w:r>
      <w:r w:rsidRPr="002125C1">
        <w:rPr>
          <w:color w:val="000000" w:themeColor="text1"/>
          <w:sz w:val="28"/>
          <w:szCs w:val="28"/>
        </w:rPr>
        <w:t xml:space="preserve"> không áp dụng đối với hoạt động hòa giải, đối thoại đã được luật khác quy định.</w:t>
      </w:r>
      <w:r w:rsidR="00257D90" w:rsidRPr="002125C1">
        <w:rPr>
          <w:color w:val="000000" w:themeColor="text1"/>
          <w:sz w:val="28"/>
          <w:szCs w:val="28"/>
        </w:rPr>
        <w:t xml:space="preserve">  </w:t>
      </w:r>
    </w:p>
    <w:p w:rsidR="009D39CF" w:rsidRPr="002125C1" w:rsidRDefault="009D39CF"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Về nguyên tắc hòa giải, đối thoại tại Tòa án, Luật quy định, các bên tự nguyện tham gia hòa giải, đối thoại; Tôn trọng sự tự nguyện thỏa thuận, thống nhất của các bên; không được ép buộc các bên thỏa thuận, thống nhất trái với ý chí của họ; Bảo đảm bình đẳng về quyền và nghĩa vụ giữa các bên tham gia hòa giải, đối thoại; Nội dung thỏa thuận hòa giải, thống nhất đối thoại không vi phạm điều cấm của luật, không trái đạo đức xã hội, không nhằm trốn tránh nghĩa vụ với Nhà nước hoặc cơ quan, tổ chức, cá nhân khác, không xâm phạm quyền, lợi ích hợp pháp của cơ quan, tổ chức, cá nhân khác; Các thông tin liên quan đến vụ việc hòa giải, đối thoại phải được giữ bí mật theo quy định tại Điều 4 của Luật này; Phương thức hòa giải, đối thoại được tiến hành linh hoạt, phù hợp với tình hình thực tế, đặc điểm của mỗi loại vụ việc; Hòa giải viên tiến hành hòa giải, đối thoại độc lập và tuân theo pháp luật.</w:t>
      </w:r>
    </w:p>
    <w:p w:rsidR="009D39CF" w:rsidRPr="002125C1" w:rsidRDefault="009D39CF"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Đồng thời Luật quy định "tiếng nói và chữ viết" dùng trong hòa giải, đối thoại là tiếng Việt. Người tham gia hòa giải, đối thoại có quyền dùng tiếng nói, chữ viết của dân tộc mình; trường hợp này họ có thể tự bố trí hoặc đề nghị Hòa giải viên bố trí phiên dịch cho mình. Người tham gia hòa giải, đối thoại là người khuyết tật nghe, nói hoặc khuyết tật nhìn có quyền dùng ngôn ngữ, ký hiệu, chữ dành riêng cho người khuyết tật; trường hợp này phải có người biết ngôn ngữ, ký hiệu, chữ dành riêng cho người khuyết tật để dịch lại và họ cũng được coi là người phiên dịch. Bảo đảm bình đẳng giới, bảo vệ quyền và lợi ích hợp pháp của trẻ em trong hòa giải, đối thoại tại Tòa án.</w:t>
      </w:r>
    </w:p>
    <w:p w:rsidR="009D39CF" w:rsidRPr="002125C1" w:rsidRDefault="009D39CF"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xml:space="preserve">Về bảo mật thông tin, Luật quy định rõ: Hòa giải viên, các bên tham gia hòa giải, đối thoại; cơ quan, tổ chức, cá nhân khác được mời tham gia hòa giải, đối thoại không được tiết lộ thông tin mà mình biết được trong quá trình hòa </w:t>
      </w:r>
      <w:r w:rsidRPr="002125C1">
        <w:rPr>
          <w:color w:val="000000" w:themeColor="text1"/>
          <w:sz w:val="28"/>
          <w:szCs w:val="28"/>
        </w:rPr>
        <w:lastRenderedPageBreak/>
        <w:t>giải, đối thoại. Trong quá trình hòa giải, đối thoại không được ghi âm, ghi hình, ghi biên bản hòa giải, đối thoại. Việc lập biên bản chỉ được thực hiện để ghi nhận kết quả hòa giải, đối thoại theo quy định tại Điều 31 của Luật này. Hòa giải viên, các bên tham gia hòa giải, đối thoại chỉ được ghi chép để phục vụ cho việc hòa giải, đối thoại và phải bảo mật nội dung đã ghi chép.</w:t>
      </w:r>
    </w:p>
    <w:p w:rsidR="009D39CF" w:rsidRPr="002125C1" w:rsidRDefault="009D39CF"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Cơ quan, tổ chức, cá nhân không được sử dụng tài liệu, lời trình bày của các bên trong quá trình hòa giải, đối thoại làm chứng cứ trong quá trình giải quyết vụ việc theo quy định của pháp luật, trừ các trường hợp sau đây: Bên đã xuất trình tài liệu, trình bày ý kiến trong quá trình hòa giải, đối thoại đồng ý việc sử dụng tài liệu, lời trình bày của mình trong quá trình hòa giải, đối thoại làm chứng cứ; Phải sử dụng làm chứng cứ theo quy định của luật. Cơ quan, tổ chức, cá nhân vi phạm các quy định tại các khoản 1, 2 và 3 Điều này thì bị xử lý theo quy định của pháp luật.</w:t>
      </w:r>
    </w:p>
    <w:p w:rsidR="009D39CF" w:rsidRPr="002125C1" w:rsidRDefault="009D39CF"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Về kinh phí cho công tác hòa giải, đối thoại tại Tòa án, Luật quy định Nhà nước bảo đảm kinh phí cho công tác hòa giải, đối thoại tại Tòa án từ ngân sách nhà nước và các nguồn kinh phí hợp pháp khác theo quy định của pháp luật. Kinh phí cho công tác hòa giải, đối thoại tại Tòa án do Chính phủ trình Quốc hội quyết định sau khi thống nhất với Tòa án nhân dân tối cao. Bộ trưởng Bộ Tài chính quy định việc lập dự toán, quản lý, sử dụng và quyết toán kinh phí bảo đảm cho công tác hòa giải, đối thoại tại Tòa án.</w:t>
      </w:r>
    </w:p>
    <w:p w:rsidR="009D39CF" w:rsidRPr="002125C1" w:rsidRDefault="009D39CF"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Về chấm dứt hòa giải, đối thoại tại Tòa án, theo Luật, việc hòa giải, đối thoại chấm dứt khi thuộc một trong các trường hợp sau đây: Hòa giải thành, đối thoại thành; Các bên không đạt được thỏa thuận, thống nhất về toàn bộ nội dung tranh chấp, khiếu kiện hoặc chỉ thỏa thuận, thống nhất được một phần tranh chấp, khiếu kiện nhưng phần đó có liên quan đến những phần khác của tranh chấp, khiếu kiện; Một bên hoặc các bên không đồng ý tiếp tục hòa giải, đối thoại hoặc vắng mặt sau 02 lần được thông báo hợp lệ về việc hòa giải, đối thoại; Trong quá trình hòa giải, đối thoại phát hiện vụ việc thuộc trường hợp quy định tại Điều 19 của Luật này; Một trong các bên yêu cầu áp dụng biện pháp khẩn cấp tạm thời theo quy định của Bộ luật Tố tụng dân sự, Luật Tố tụng hành chính trong quá trình hòa giải, đối thoại; Người nộp đơn khởi kiện, đơn yêu cầu rút đơn khởi kiện, đơn yêu cầu.</w:t>
      </w:r>
    </w:p>
    <w:p w:rsidR="009D39CF" w:rsidRPr="002125C1" w:rsidRDefault="009D39CF"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Với 04 Chương, 42 Điều, Luật Hòa giải, đối thoại tại Tòa án có hiệu lực thi hành từ ngày 01 tháng 01 năm 2021./.</w:t>
      </w:r>
    </w:p>
    <w:p w:rsidR="009D39CF" w:rsidRPr="002125C1" w:rsidRDefault="00A33F84" w:rsidP="002125C1">
      <w:pPr>
        <w:shd w:val="clear" w:color="auto" w:fill="FFFFFF"/>
        <w:spacing w:before="120" w:after="120" w:line="240" w:lineRule="auto"/>
        <w:ind w:firstLine="567"/>
        <w:jc w:val="both"/>
        <w:outlineLvl w:val="0"/>
        <w:rPr>
          <w:rFonts w:ascii="Times New Roman" w:eastAsia="Times New Roman" w:hAnsi="Times New Roman" w:cs="Times New Roman"/>
          <w:b/>
          <w:bCs/>
          <w:color w:val="000000" w:themeColor="text1"/>
          <w:kern w:val="36"/>
          <w:sz w:val="28"/>
          <w:szCs w:val="28"/>
        </w:rPr>
      </w:pPr>
      <w:r>
        <w:rPr>
          <w:rFonts w:ascii="Times New Roman" w:eastAsia="Times New Roman" w:hAnsi="Times New Roman" w:cs="Times New Roman"/>
          <w:b/>
          <w:bCs/>
          <w:color w:val="000000" w:themeColor="text1"/>
          <w:kern w:val="36"/>
          <w:sz w:val="28"/>
          <w:szCs w:val="28"/>
        </w:rPr>
        <w:t>II</w:t>
      </w:r>
      <w:r w:rsidR="00257D90" w:rsidRPr="002125C1">
        <w:rPr>
          <w:rFonts w:ascii="Times New Roman" w:eastAsia="Times New Roman" w:hAnsi="Times New Roman" w:cs="Times New Roman"/>
          <w:b/>
          <w:bCs/>
          <w:color w:val="000000" w:themeColor="text1"/>
          <w:kern w:val="36"/>
          <w:sz w:val="28"/>
          <w:szCs w:val="28"/>
        </w:rPr>
        <w:t xml:space="preserve">. </w:t>
      </w:r>
      <w:r w:rsidR="00257D90" w:rsidRPr="009B1B5F">
        <w:rPr>
          <w:rFonts w:ascii="Times New Roman" w:eastAsia="Times New Roman" w:hAnsi="Times New Roman" w:cs="Times New Roman"/>
          <w:b/>
          <w:bCs/>
          <w:caps/>
          <w:color w:val="000000" w:themeColor="text1"/>
          <w:kern w:val="36"/>
          <w:sz w:val="28"/>
          <w:szCs w:val="28"/>
        </w:rPr>
        <w:t xml:space="preserve">Một số nội dung </w:t>
      </w:r>
      <w:r w:rsidR="009D39CF" w:rsidRPr="009B1B5F">
        <w:rPr>
          <w:rFonts w:ascii="Times New Roman" w:eastAsia="Times New Roman" w:hAnsi="Times New Roman" w:cs="Times New Roman"/>
          <w:b/>
          <w:bCs/>
          <w:caps/>
          <w:color w:val="000000" w:themeColor="text1"/>
          <w:kern w:val="36"/>
          <w:sz w:val="28"/>
          <w:szCs w:val="28"/>
        </w:rPr>
        <w:t>Luật sửa đổi, bổ sung một số điều của Luật Giám định tư pháp</w:t>
      </w:r>
    </w:p>
    <w:p w:rsidR="009D39CF" w:rsidRPr="002125C1" w:rsidRDefault="005C0164" w:rsidP="002125C1">
      <w:pPr>
        <w:pStyle w:val="NormalWeb"/>
        <w:shd w:val="clear" w:color="auto" w:fill="FFFFFF"/>
        <w:spacing w:before="120" w:beforeAutospacing="0" w:after="120" w:afterAutospacing="0"/>
        <w:ind w:firstLine="567"/>
        <w:jc w:val="both"/>
        <w:rPr>
          <w:color w:val="000000" w:themeColor="text1"/>
          <w:sz w:val="28"/>
          <w:szCs w:val="28"/>
        </w:rPr>
      </w:pPr>
      <w:hyperlink r:id="rId8" w:tgtFrame="_blank" w:history="1">
        <w:r w:rsidR="009D39CF" w:rsidRPr="002125C1">
          <w:rPr>
            <w:rStyle w:val="Hyperlink"/>
            <w:color w:val="000000" w:themeColor="text1"/>
            <w:sz w:val="28"/>
            <w:szCs w:val="28"/>
            <w:u w:val="none"/>
          </w:rPr>
          <w:t>Luật sửa đổi, bổ sung một số điều của Luật Giám định tư pháp</w:t>
        </w:r>
      </w:hyperlink>
      <w:r w:rsidR="009D39CF" w:rsidRPr="002125C1">
        <w:rPr>
          <w:color w:val="000000" w:themeColor="text1"/>
          <w:sz w:val="28"/>
          <w:szCs w:val="28"/>
        </w:rPr>
        <w:t>, có hiệu lực thi hành từ ngày 01 tháng 01 năm 2021.</w:t>
      </w:r>
    </w:p>
    <w:p w:rsidR="009D39CF" w:rsidRPr="002125C1" w:rsidRDefault="009D39CF"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xml:space="preserve">Luật quy định, Giám định tư pháp là việc người giám định tư pháp sử dụng kiến thức, phương tiện, phương pháp khoa học, kỹ thuật, nghiệp vụ để kết luận về chuyên môn những vấn đề có liên quan đến hoạt động khởi tố, điều tra, truy tố, xét xử và thi hành án hình sự, giải quyết vụ việc dân sự, vụ án hành chính </w:t>
      </w:r>
      <w:r w:rsidRPr="002125C1">
        <w:rPr>
          <w:color w:val="000000" w:themeColor="text1"/>
          <w:sz w:val="28"/>
          <w:szCs w:val="28"/>
        </w:rPr>
        <w:lastRenderedPageBreak/>
        <w:t>theo trưng cầu của cơ quan có thẩm quyền tiến hành tố tụng, người có thẩm quyền tiến hành tố tụng hoặc theo yêu cầu của người yêu cầu giám định theo quy định của Luật này.</w:t>
      </w:r>
    </w:p>
    <w:p w:rsidR="009D39CF" w:rsidRPr="002125C1" w:rsidRDefault="009D39CF"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Người trưng cầu giám định bao gồm cơ quan có thẩm quyền tiến hành tố tụng, người có thẩm quyền tiến hành tố tụng. Người yêu cầu giám định là người có quyền tự mình yêu cầu giám định sau khi đã đề nghị cơ quan có thẩm quyền tiến hành tố tụng, người có thẩm quyền tiến hành tố tụng trưng cầu giám định mà không được chấp nhận. Người có quyền tự mình yêu cầu giám định bao gồm đương sự trong vụ việc dân sự, vụ án hành chính, nguyên đơn dân sự, bị đơn dân sự, người có quyền lợi, nghĩa vụ liên quan trong vụ án hình sự hoặc người đại diện hợp pháp của họ, trừ trường hợp việc yêu cầu giám định liên quan đến việc xác định trách nhiệm hình sự của bị can, bị cáo.</w:t>
      </w:r>
    </w:p>
    <w:p w:rsidR="009D39CF" w:rsidRPr="002125C1" w:rsidRDefault="009D39CF"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Luật quy định việc thành lập phòng giám định kỹ thuật hình sự thuộc Viện kiểm sát nhân dân tối cao. Theo đó, phòng giám định kỹ thuật hình sự thuộc Viện kiểm sát nhân dân tối cao thực hiện giám định về âm thanh, hình ảnh từ các dữ liệu điện tử. Căn cứ vào nhu cầu và điều kiện thực tế của địa phương, Phòng kỹ thuật hình sự thuộc Công an cấp tỉnh có giám định viên pháp y thực hiện giám định pháp y tử thi. Chính phủ quy định chi tiết chức năng, nhiệm vụ, cơ cấu tổ chức, chế độ làm việc của tổ chức giám định tư pháp công lập quy định tại khoản 2, khoản 3, các điểm a, b và c khoản 4 Điều này. Viện trưởng Viện kiểm sát nhân dân tối cao quy định chức năng, nhiệm vụ, cơ cấu tổ chức của Phòng giám định kỹ thuật hình sự thuộc Viện kiểm sát nhân dân tối cao, trình Ủy ban Thường vụ Quốc hội phê chuẩn.</w:t>
      </w:r>
    </w:p>
    <w:p w:rsidR="009D39CF" w:rsidRPr="002125C1" w:rsidRDefault="009D39CF"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Về sơ yếu lý lịch và Phiếu lý lịch tư pháp đối với người được đề nghị bổ nhiệm giám định viên tư pháp, Luật quy định trường hợp người được đề nghị bổ nhiệm giám định viên tư pháp đang là công chức, viên chức, sĩ quan quân đội, sĩ quan công an nhân dân, quân nhân chuyên nghiệp, công nhân quốc phòng thì không cần có Phiếu lý lịch tư pháp.</w:t>
      </w:r>
    </w:p>
    <w:p w:rsidR="009D39CF" w:rsidRPr="002125C1" w:rsidRDefault="009D39CF"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Luật quy định người trưng cầu giám định quyết định trưng cầu giám định tư pháp bằng văn bản và gửi quyết định kèm theo đối tượng giám định, thông tin, tài liệu, đồ vật có liên quan (nếu có) đến cá nhân, tổ chức thực hiện giám định. Trường hợp đối tượng giám định, thông tin, tài liệu, đồ vật có liên quan không thể gửi kèm theo quyết định giám định thì người trưng cầu giám định có trách nhiệm làm thủ tục bàn giao cho cá nhân, tổ chức thực hiện giám định.</w:t>
      </w:r>
    </w:p>
    <w:p w:rsidR="009D39CF" w:rsidRPr="002125C1" w:rsidRDefault="009D39CF"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xml:space="preserve">Về thời hạn giám định tư pháp trong trường hợp trưng cầu giám định, Luật quy định thời hạn giám định tư pháp được tính từ ngày tổ chức, cá nhân được trưng cầu giám định nhận được quyết định trưng cầu giám định và kèm theo đầy đủ hồ sơ, đối tượng giám định, thông tin, tài liệu, đồ vật, mẫu vật cần thiết cho việc giám định. Trong quá trình thực hiện giám định, trường hợp cần phải bổ sung thêm hồ sơ, tài liệu làm cơ sở cho việc giám định thì tổ chức, cá nhân được trưng cầu có văn bản đề nghị người đã trưng cầu giám định bổ sung hồ sơ, tài liệu. Thời gian từ khi tổ chức, cá nhân được trưng cầu giám định có văn bản đề </w:t>
      </w:r>
      <w:r w:rsidRPr="002125C1">
        <w:rPr>
          <w:color w:val="000000" w:themeColor="text1"/>
          <w:sz w:val="28"/>
          <w:szCs w:val="28"/>
        </w:rPr>
        <w:lastRenderedPageBreak/>
        <w:t>nghị đến khi nhận được hồ sơ, tài liệu bổ sung không tính vào thời hạn giám định.</w:t>
      </w:r>
    </w:p>
    <w:p w:rsidR="009D39CF" w:rsidRPr="002125C1" w:rsidRDefault="009D39CF"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Thời hạn giám định tư pháp đối với các trường hợp bắt buộc phải trưng cầu giám định được thực hiện theo quy định của pháp luật về tố tụng hình sự. Thời hạn giám định tư pháp đối với các trường hợp không thuộc quy định tại khoản 2 Điều này tối đa là 03 tháng. Trường hợp vụ việc giám định có tính chất phức tạp hoặc khối lượng công việc lớn thì thời hạn giám định tối đa là 04 tháng.</w:t>
      </w:r>
    </w:p>
    <w:p w:rsidR="009D39CF" w:rsidRPr="002125C1" w:rsidRDefault="009D39CF"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Ngoài ra, Luật cũng sửa đổi, bổ sung nhiều quy định về công nhận và đăng tải danh sách người giám định tư pháp; quyền, nghĩa vụ của người trưng cầu giám định; kết luận giám định tư pháp; chi phí giám định tư pháp./.</w:t>
      </w:r>
    </w:p>
    <w:p w:rsidR="007B2798" w:rsidRPr="009B1B5F" w:rsidRDefault="00A33F84" w:rsidP="002125C1">
      <w:pPr>
        <w:pStyle w:val="Heading1"/>
        <w:shd w:val="clear" w:color="auto" w:fill="FFFFFF"/>
        <w:spacing w:before="120" w:beforeAutospacing="0" w:after="120" w:afterAutospacing="0"/>
        <w:ind w:firstLine="567"/>
        <w:jc w:val="both"/>
        <w:rPr>
          <w:caps/>
          <w:color w:val="000000" w:themeColor="text1"/>
          <w:sz w:val="28"/>
          <w:szCs w:val="28"/>
        </w:rPr>
      </w:pPr>
      <w:r>
        <w:rPr>
          <w:color w:val="000000" w:themeColor="text1"/>
          <w:sz w:val="28"/>
          <w:szCs w:val="28"/>
        </w:rPr>
        <w:t>III</w:t>
      </w:r>
      <w:r w:rsidR="007B2798" w:rsidRPr="002125C1">
        <w:rPr>
          <w:color w:val="000000" w:themeColor="text1"/>
          <w:sz w:val="28"/>
          <w:szCs w:val="28"/>
        </w:rPr>
        <w:t xml:space="preserve">. </w:t>
      </w:r>
      <w:r w:rsidR="007B2798" w:rsidRPr="009B1B5F">
        <w:rPr>
          <w:caps/>
          <w:color w:val="000000" w:themeColor="text1"/>
          <w:sz w:val="28"/>
          <w:szCs w:val="28"/>
        </w:rPr>
        <w:t>Một số nội dung Luật Thanh niên (sửa đổi)</w:t>
      </w:r>
    </w:p>
    <w:p w:rsidR="007B2798" w:rsidRPr="002125C1" w:rsidRDefault="007B2798" w:rsidP="002125C1">
      <w:pPr>
        <w:spacing w:before="120" w:after="120" w:line="240" w:lineRule="auto"/>
        <w:ind w:firstLine="567"/>
        <w:jc w:val="both"/>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color w:val="000000" w:themeColor="text1"/>
          <w:sz w:val="28"/>
          <w:szCs w:val="28"/>
          <w:shd w:val="clear" w:color="auto" w:fill="FFFFFF"/>
        </w:rPr>
        <w:t xml:space="preserve">So với Luật Thanh niên năm 2005 Luật Thanh niên được </w:t>
      </w:r>
      <w:r w:rsidR="0062004C">
        <w:rPr>
          <w:rFonts w:ascii="Times New Roman" w:eastAsia="Times New Roman" w:hAnsi="Times New Roman" w:cs="Times New Roman"/>
          <w:color w:val="000000" w:themeColor="text1"/>
          <w:sz w:val="28"/>
          <w:szCs w:val="28"/>
          <w:shd w:val="clear" w:color="auto" w:fill="FFFFFF"/>
        </w:rPr>
        <w:t>Q</w:t>
      </w:r>
      <w:r w:rsidRPr="002125C1">
        <w:rPr>
          <w:rFonts w:ascii="Times New Roman" w:eastAsia="Times New Roman" w:hAnsi="Times New Roman" w:cs="Times New Roman"/>
          <w:color w:val="000000" w:themeColor="text1"/>
          <w:sz w:val="28"/>
          <w:szCs w:val="28"/>
          <w:shd w:val="clear" w:color="auto" w:fill="FFFFFF"/>
        </w:rPr>
        <w:t>uốc hội xem xét, thông qua tăng 01 Chương và 05 Điều.</w:t>
      </w:r>
    </w:p>
    <w:p w:rsidR="007B2798" w:rsidRPr="002125C1" w:rsidRDefault="007B2798" w:rsidP="002125C1">
      <w:pPr>
        <w:shd w:val="clear" w:color="auto" w:fill="FFFFFF"/>
        <w:spacing w:before="120" w:after="120" w:line="240" w:lineRule="auto"/>
        <w:ind w:firstLine="567"/>
        <w:jc w:val="both"/>
        <w:textAlignment w:val="baseline"/>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color w:val="000000" w:themeColor="text1"/>
          <w:sz w:val="28"/>
          <w:szCs w:val="28"/>
        </w:rPr>
        <w:t>Chương I, Quy định chung gồm 11 Điều (Từ Điều 1 đến Điều 11) quy định:  Thanh niên; Phạm vi điều chỉnh; Đối tượng áp dụng; Vai trò, quyền và nghĩa vụ của thanh niên; Nguyên tắc bảo đảm thực hiện quyền, nghĩa vụ của thanh niên và chính sách của Nhà nước đối với thanh niên; Nguồn lực thực hiện chính sách của Nhà nước đối với thanh niên; Ủy ban quốc gia về thanh niên Việt Nam; Hợp tác quốc tế về thanh niên; Tháng Thanh niên; Đối thoại với thanh niên và Áp dụng điều ước quốc tế về quyền trẻ em đối với thanh niên từ đủ 16 tuổi đến dưới 18 tuổi.</w:t>
      </w:r>
    </w:p>
    <w:p w:rsidR="007B2798" w:rsidRPr="002125C1" w:rsidRDefault="007B2798" w:rsidP="002125C1">
      <w:pPr>
        <w:shd w:val="clear" w:color="auto" w:fill="FFFFFF"/>
        <w:spacing w:before="120" w:after="120" w:line="240" w:lineRule="auto"/>
        <w:ind w:firstLine="567"/>
        <w:jc w:val="both"/>
        <w:textAlignment w:val="baseline"/>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color w:val="000000" w:themeColor="text1"/>
          <w:sz w:val="28"/>
          <w:szCs w:val="28"/>
        </w:rPr>
        <w:t>Chương II, Trách nhiệm của thanh niên gồm 04 điều (Từ Điều 12 đến Điều 15) quy định trách nhiệm của thanh niên đối với Tổ quốc; đối với Nhà nước và xã hội; đối với gia đình và đối với bản thân.</w:t>
      </w:r>
    </w:p>
    <w:p w:rsidR="007B2798" w:rsidRPr="002125C1" w:rsidRDefault="007B2798" w:rsidP="002125C1">
      <w:pPr>
        <w:shd w:val="clear" w:color="auto" w:fill="FFFFFF"/>
        <w:spacing w:before="120" w:after="120" w:line="240" w:lineRule="auto"/>
        <w:ind w:firstLine="567"/>
        <w:jc w:val="both"/>
        <w:textAlignment w:val="baseline"/>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color w:val="000000" w:themeColor="text1"/>
          <w:sz w:val="28"/>
          <w:szCs w:val="28"/>
        </w:rPr>
        <w:t>Chương III, Chính sách Nhà nước đối với thanh niên gồm 11 Điều (Từ Điều 16 đến Điều 26) quy định 11 nhóm chính sách của Nhà nước đối với thanh niên. Trong đó có 06 điều (từ Điều 16 đến Điều 21) quy định chính sách theo lĩnh vực gồm: Chính sách về học tập và nghiên cứu khoa học; chính sách về lao động, việc làm; chính sách về khởi nghiệp; chính sách về bảo vệ, chăm sóc và nâng cao sức khỏe; chính sách về văn hóa, thể dục, thể thao; chính sách về bảo vệ Tổ quốc và 05 điều (từ Điều 22 đến Điều 26) quy định chính sách đối với một số nhóm đối tượng thanh niên, gồm: Chính sách đối với thanh niên xung phong; chính sách đối với thanh niên tình nguyện; chính sách đối với thanh niên có tài năng; chính sách đối với thanh niên dân tộc thiểu số và chính sách đối với thanh niên từ đủ 16 tuổi đến dưới 18 tuổi.</w:t>
      </w:r>
    </w:p>
    <w:p w:rsidR="007B2798" w:rsidRPr="002125C1" w:rsidRDefault="007B2798" w:rsidP="002125C1">
      <w:pPr>
        <w:shd w:val="clear" w:color="auto" w:fill="FFFFFF"/>
        <w:spacing w:before="120" w:after="120" w:line="240" w:lineRule="auto"/>
        <w:ind w:firstLine="567"/>
        <w:jc w:val="both"/>
        <w:textAlignment w:val="baseline"/>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color w:val="000000" w:themeColor="text1"/>
          <w:sz w:val="28"/>
          <w:szCs w:val="28"/>
        </w:rPr>
        <w:t>Chương IV, Tổ chức thanh niên, gồm 4 điều (Từ Điều 27 đến Điều 30) quy định về tổ chức thanh niên; quy định về Đoàn Thanh niên Cộng sản Hồ Chí Minh, Hội Liên hiệp thanh niên Việt Nam, Hội sinh viên Việt Nam và quy định về chính sách cùa Nhà nước đối với tổ chức thanh niên.</w:t>
      </w:r>
    </w:p>
    <w:p w:rsidR="007B2798" w:rsidRPr="002125C1" w:rsidRDefault="007B2798" w:rsidP="002125C1">
      <w:pPr>
        <w:shd w:val="clear" w:color="auto" w:fill="FFFFFF"/>
        <w:spacing w:before="120" w:after="120" w:line="240" w:lineRule="auto"/>
        <w:ind w:firstLine="567"/>
        <w:jc w:val="both"/>
        <w:textAlignment w:val="baseline"/>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color w:val="000000" w:themeColor="text1"/>
          <w:sz w:val="28"/>
          <w:szCs w:val="28"/>
        </w:rPr>
        <w:t xml:space="preserve">Chương V, Trách nhiệm của Mặt trận Tổ quốc Việt Nam, tổ chức xã hội, tổ chức kinh tế, cơ sở giáo dục, gia đình gồm 05 điều (Từ Điều 31 đến Điền 35), </w:t>
      </w:r>
      <w:r w:rsidRPr="002125C1">
        <w:rPr>
          <w:rFonts w:ascii="Times New Roman" w:eastAsia="Times New Roman" w:hAnsi="Times New Roman" w:cs="Times New Roman"/>
          <w:color w:val="000000" w:themeColor="text1"/>
          <w:sz w:val="28"/>
          <w:szCs w:val="28"/>
        </w:rPr>
        <w:lastRenderedPageBreak/>
        <w:t>quy định rõ trách nhiệm của Mặt trận Tổ quốc Việt Nam, tổ chức xã hội, tổ chức kinh tế, cơ sở giáo dục, gia đình đối với thanh niên.</w:t>
      </w:r>
    </w:p>
    <w:p w:rsidR="007B2798" w:rsidRPr="002125C1" w:rsidRDefault="007B2798" w:rsidP="002125C1">
      <w:pPr>
        <w:shd w:val="clear" w:color="auto" w:fill="FFFFFF"/>
        <w:spacing w:before="120" w:after="120" w:line="240" w:lineRule="auto"/>
        <w:ind w:firstLine="567"/>
        <w:jc w:val="both"/>
        <w:textAlignment w:val="baseline"/>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color w:val="000000" w:themeColor="text1"/>
          <w:sz w:val="28"/>
          <w:szCs w:val="28"/>
        </w:rPr>
        <w:t>Chương VI, Quản lý nhà nước về thanh niên. Gồm 5 Điều (từ Điều 36 đến Điều 40), quy định nội dung quản lý nhà nước về thanh niên; trách nhiệm của Chính  phủ; trách nhiệm của Bộ Nội vụ; trách nhiệm của các bộ, cơ quan ngang bộ và trách nhiệm của Hội đồng nhân dân, Ủy ban nhân dân cấp tỉnh.</w:t>
      </w:r>
    </w:p>
    <w:p w:rsidR="007B2798" w:rsidRPr="002125C1" w:rsidRDefault="007B2798" w:rsidP="002125C1">
      <w:pPr>
        <w:shd w:val="clear" w:color="auto" w:fill="FFFFFF"/>
        <w:spacing w:before="120" w:after="120" w:line="240" w:lineRule="auto"/>
        <w:ind w:firstLine="567"/>
        <w:jc w:val="both"/>
        <w:textAlignment w:val="baseline"/>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color w:val="000000" w:themeColor="text1"/>
          <w:sz w:val="28"/>
          <w:szCs w:val="28"/>
        </w:rPr>
        <w:t>Chương VII, Quy định hiệu lực thi hành, gồm 01 điều quy định về hiệu lực thi hành.</w:t>
      </w:r>
    </w:p>
    <w:p w:rsidR="007B2798" w:rsidRPr="002125C1" w:rsidRDefault="007B2798" w:rsidP="002125C1">
      <w:pPr>
        <w:shd w:val="clear" w:color="auto" w:fill="FFFFFF"/>
        <w:spacing w:before="120" w:after="120" w:line="240" w:lineRule="auto"/>
        <w:ind w:firstLine="567"/>
        <w:jc w:val="both"/>
        <w:textAlignment w:val="baseline"/>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b/>
          <w:bCs/>
          <w:color w:val="000000" w:themeColor="text1"/>
          <w:sz w:val="28"/>
          <w:szCs w:val="28"/>
          <w:bdr w:val="none" w:sz="0" w:space="0" w:color="auto" w:frame="1"/>
        </w:rPr>
        <w:t>Một số nội dung mới của Luật Thanh niên (sửa đổi) so với Luật Thanh niên năm 2005</w:t>
      </w:r>
    </w:p>
    <w:p w:rsidR="007B2798" w:rsidRPr="002125C1" w:rsidRDefault="007B2798" w:rsidP="002125C1">
      <w:pPr>
        <w:shd w:val="clear" w:color="auto" w:fill="FFFFFF"/>
        <w:spacing w:before="120" w:after="120" w:line="240" w:lineRule="auto"/>
        <w:ind w:firstLine="567"/>
        <w:jc w:val="both"/>
        <w:textAlignment w:val="baseline"/>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b/>
          <w:bCs/>
          <w:color w:val="000000" w:themeColor="text1"/>
          <w:sz w:val="28"/>
          <w:szCs w:val="28"/>
          <w:bdr w:val="none" w:sz="0" w:space="0" w:color="auto" w:frame="1"/>
        </w:rPr>
        <w:t>1. Không quy định cụ thể quyền và nghĩa vụ của thanh niên mà quy định trách nhiệm của thanh niên.</w:t>
      </w:r>
    </w:p>
    <w:p w:rsidR="007B2798" w:rsidRPr="002125C1" w:rsidRDefault="007B2798" w:rsidP="002125C1">
      <w:pPr>
        <w:shd w:val="clear" w:color="auto" w:fill="FFFFFF"/>
        <w:spacing w:before="120" w:after="120" w:line="240" w:lineRule="auto"/>
        <w:ind w:firstLine="567"/>
        <w:jc w:val="both"/>
        <w:textAlignment w:val="baseline"/>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color w:val="000000" w:themeColor="text1"/>
          <w:sz w:val="28"/>
          <w:szCs w:val="28"/>
        </w:rPr>
        <w:t>Luật Thanh niên năm 2005 có 01 chương (chương II) quy định 8 quyền, nghĩa vụ cơ bản của thanh niên nhưng thể hiện theo cách quyền và nghĩa vụ đi liền với nhau, vừa là quyền, vừa là nghĩa vụ, các điều khoản thì chưa rõ ràng, còn chung chung. Thanh niên cũng đồng thời là công dân, vì thế các quyền hoặc nghĩa vụ của công dân cũng chính là các quyền và nghĩa vụ của thanh niên. Trong khi đó, các quyền và nghĩa vụ của công dân đã được Hiến pháp và các luật chuyên ngành quy định rất cụ thể, rõ ràng. Luật Thanh niên (sửa đổi) không quy định quyền và nghĩa vụ của thanh niên trên các lĩnh vực cơ bản mà quy định thành 01 Điều quét chung quy định về vai trò, quyền và nghĩa vụ chung của thanh niên (Điều 4). Đồng thời, Dự thảo Luật Thanh niên (sửa đổi) đã dành 01 Chương (Chương II) quy định trách nhiệm của thanh niên đối với Tổ quốc, Nhà nước, gia đình, xã hội và bản thân thanh niên.</w:t>
      </w:r>
    </w:p>
    <w:p w:rsidR="007B2798" w:rsidRPr="002125C1" w:rsidRDefault="007B2798" w:rsidP="002125C1">
      <w:pPr>
        <w:shd w:val="clear" w:color="auto" w:fill="FFFFFF"/>
        <w:spacing w:before="120" w:after="120" w:line="240" w:lineRule="auto"/>
        <w:ind w:firstLine="567"/>
        <w:jc w:val="both"/>
        <w:textAlignment w:val="baseline"/>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b/>
          <w:bCs/>
          <w:color w:val="000000" w:themeColor="text1"/>
          <w:sz w:val="28"/>
          <w:szCs w:val="28"/>
          <w:bdr w:val="none" w:sz="0" w:space="0" w:color="auto" w:frame="1"/>
        </w:rPr>
        <w:t>2. Luật Thanh niên (sửa đổi) quy định nguồn lực thực hiện chính sách nhà nước đối với thanh niên, quy định Tháng Thanh niên, Đối thoại với thanh niên.</w:t>
      </w:r>
    </w:p>
    <w:p w:rsidR="007B2798" w:rsidRPr="002125C1" w:rsidRDefault="007B2798" w:rsidP="002125C1">
      <w:pPr>
        <w:shd w:val="clear" w:color="auto" w:fill="FFFFFF"/>
        <w:spacing w:before="120" w:after="120" w:line="240" w:lineRule="auto"/>
        <w:ind w:firstLine="567"/>
        <w:jc w:val="both"/>
        <w:textAlignment w:val="baseline"/>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color w:val="000000" w:themeColor="text1"/>
          <w:sz w:val="28"/>
          <w:szCs w:val="28"/>
        </w:rPr>
        <w:t>Từ năm 2003, Đảng, Nhà nước đã lấy tháng 3 hàng năm là Tháng thanh niên nhằm phát huy vai trò xung kích, tình nguyện của thanh niên trong việc tham gia phát triển kinh tế - xã hội, bảo đảm giữ vững an ninh chính trị, trật tự an toàn xã hội, đồng thời bồi dưỡng lực lượng thanh niên - nguồn nhân lực trẻ trong sự nghiệp xây dựng và bảo vệ Tổ quốc. Luật Thanh niên (sửa đổi) quy định Tháng 3 hằng năm là Tháng Thanh niên nhằm phát huy tinh thần xung kích, tình nguyện, sáng tạo của thanh niên để tham gia hoạt động vì lợi ích của cộng đồng, xã hội và vận động tổ chức, cá nhân đầu tư, phát triển thanh niên.</w:t>
      </w:r>
    </w:p>
    <w:p w:rsidR="007B2798" w:rsidRPr="002125C1" w:rsidRDefault="007B2798" w:rsidP="002125C1">
      <w:pPr>
        <w:shd w:val="clear" w:color="auto" w:fill="FFFFFF"/>
        <w:spacing w:before="120" w:after="120" w:line="240" w:lineRule="auto"/>
        <w:ind w:firstLine="567"/>
        <w:jc w:val="both"/>
        <w:textAlignment w:val="baseline"/>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color w:val="000000" w:themeColor="text1"/>
          <w:sz w:val="28"/>
          <w:szCs w:val="28"/>
        </w:rPr>
        <w:t xml:space="preserve">Nghị quyết số 25-NQ/TW ngày 25/7/2008 của Ban Chấp hành Trung ương Đảng khoá X quy định: Chính quyền các cấp định kỳ gặp gỡ, đối thoại với thanh niên. Hiện nay, Lãnh đạo các bộ ngành, Chủ tịch Ủy ban nhân dân các cấp, Thủ trưởng các cơ quan, tổ chức đã thường xuyên gặp gỡ, đối thoại với thanh niên để giải đáp và tháo gỡ các vấn đề có liên quan đến thanh niên. Luật Thanh niên (sửa đổi) quy định việc đối thoại với thanh niên nhằm cụ thể hóa Nghị quyết của </w:t>
      </w:r>
      <w:r w:rsidRPr="002125C1">
        <w:rPr>
          <w:rFonts w:ascii="Times New Roman" w:eastAsia="Times New Roman" w:hAnsi="Times New Roman" w:cs="Times New Roman"/>
          <w:color w:val="000000" w:themeColor="text1"/>
          <w:sz w:val="28"/>
          <w:szCs w:val="28"/>
        </w:rPr>
        <w:lastRenderedPageBreak/>
        <w:t>Đảng,  phù hợp với thực tiễn nhằm giải quyết các kiến nghị, đề xuất của thanh niên thông qua hoạt động đối thoại với thanh niên.</w:t>
      </w:r>
    </w:p>
    <w:p w:rsidR="007B2798" w:rsidRPr="002125C1" w:rsidRDefault="007B2798" w:rsidP="002125C1">
      <w:pPr>
        <w:shd w:val="clear" w:color="auto" w:fill="FFFFFF"/>
        <w:spacing w:before="120" w:after="120" w:line="240" w:lineRule="auto"/>
        <w:ind w:firstLine="567"/>
        <w:jc w:val="both"/>
        <w:textAlignment w:val="baseline"/>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color w:val="000000" w:themeColor="text1"/>
          <w:sz w:val="28"/>
          <w:szCs w:val="28"/>
        </w:rPr>
        <w:t>Luật Thanh niên năm 2005 không quy định nguồn lực thực hiện chính sách nhà nước đối với thanh niên, khắc phục nhược điểm đó, Luật Thanh niên (sửa đổi) quy định Nhà nước bảo đảm nguồn lực để xây dựng và tổ chức thực hiện chính sách đối với thanh niên theo quy định của pháp luật. Nguồn tài chính bảo đảm thực hiện chính sách đối với thanh niên gồm ngân sách nhà nước; các khoản ủng hộ, viện trợ, tài trợ và khoản đóng góp.</w:t>
      </w:r>
    </w:p>
    <w:p w:rsidR="007B2798" w:rsidRPr="002125C1" w:rsidRDefault="007B2798" w:rsidP="002125C1">
      <w:pPr>
        <w:shd w:val="clear" w:color="auto" w:fill="FFFFFF"/>
        <w:spacing w:before="120" w:after="120" w:line="240" w:lineRule="auto"/>
        <w:ind w:firstLine="567"/>
        <w:jc w:val="both"/>
        <w:textAlignment w:val="baseline"/>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b/>
          <w:bCs/>
          <w:color w:val="000000" w:themeColor="text1"/>
          <w:sz w:val="28"/>
          <w:szCs w:val="28"/>
          <w:bdr w:val="none" w:sz="0" w:space="0" w:color="auto" w:frame="1"/>
        </w:rPr>
        <w:t>3. Về chính sách của Nhà nước đối với thanh niên</w:t>
      </w:r>
    </w:p>
    <w:p w:rsidR="007B2798" w:rsidRPr="002125C1" w:rsidRDefault="007B2798" w:rsidP="002125C1">
      <w:pPr>
        <w:shd w:val="clear" w:color="auto" w:fill="FFFFFF"/>
        <w:spacing w:before="120" w:after="120" w:line="240" w:lineRule="auto"/>
        <w:ind w:firstLine="567"/>
        <w:jc w:val="both"/>
        <w:textAlignment w:val="baseline"/>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color w:val="000000" w:themeColor="text1"/>
          <w:sz w:val="28"/>
          <w:szCs w:val="28"/>
        </w:rPr>
        <w:t>Luật Thanh niên 2005 đã quy định các chính sách của nhà nước đối với thanh niên gắn với trách nhiệm của nhà trường, gia đình, chính quyền địa phương các cấp và Đoàn thanh niên cộng sản Hồ Chí Minh cùng các tổ chức thanh niên. Luật thanh niên sửa đổi lần này đã tách các chính sách của Nhà nước đối với thanh niên thành một chương riêng để không chồng chéo với các chính sách đã được quy định ở các luật chuyên ngành và bảo đảm tính khả thi cao khi Luật được ban hành, các chính sách của Nhà nước đối với thanh niên quy định trong Luật Thanh niên (sửa đổi) đã được thiết kế theo hướng vừa quy định </w:t>
      </w:r>
      <w:r w:rsidRPr="002125C1">
        <w:rPr>
          <w:rFonts w:ascii="Times New Roman" w:eastAsia="Times New Roman" w:hAnsi="Times New Roman" w:cs="Times New Roman"/>
          <w:b/>
          <w:bCs/>
          <w:color w:val="000000" w:themeColor="text1"/>
          <w:sz w:val="28"/>
          <w:szCs w:val="28"/>
          <w:bdr w:val="none" w:sz="0" w:space="0" w:color="auto" w:frame="1"/>
        </w:rPr>
        <w:t>chính sách khung vừa quy định chính sách cụ thể</w:t>
      </w:r>
      <w:r w:rsidRPr="002125C1">
        <w:rPr>
          <w:rFonts w:ascii="Times New Roman" w:eastAsia="Times New Roman" w:hAnsi="Times New Roman" w:cs="Times New Roman"/>
          <w:color w:val="000000" w:themeColor="text1"/>
          <w:sz w:val="28"/>
          <w:szCs w:val="28"/>
        </w:rPr>
        <w:t>, có tính chất định hướng trên các lĩnh vực gần với thanh niên; trong đó, quy định nguyên tắc định hướng để thực hiện các chính sách làm cơ sở cho việc bảo đảm cho các cơ quan Nhà nước có thẩm quyền trong quá trình thực hiện nhiệm vụ theo ngành, lĩnh vực và địa phương tổ chức triển khai thực hiện hoặc lồng ghép trong việc thực hiện chính sách đối với thanh niên trên các lĩnh vực: Học tập và nghiên cứu khoa học; về lao động, việc làm; về khởi nghiệp; về bảo vệ, chăm sóc và nâng cao sức khỏe; về văn hóa, thể dục, thể thao, về bảo vệ Tổ quốc. Đồng thời quy định chính sách đối với một số nhóm thanh niên cụ thể, như: Chính sách hỗ trợ thanh niên tài năng, thanh niên khởi nghiệp; thanh niên từ đủ mười sáu tuối đến dưới mười tám tuổi, thanh niên dân tộc thiểu số.</w:t>
      </w:r>
    </w:p>
    <w:p w:rsidR="007B2798" w:rsidRPr="002125C1" w:rsidRDefault="007B2798" w:rsidP="002125C1">
      <w:pPr>
        <w:shd w:val="clear" w:color="auto" w:fill="FFFFFF"/>
        <w:spacing w:before="120" w:after="120" w:line="240" w:lineRule="auto"/>
        <w:ind w:firstLine="567"/>
        <w:jc w:val="both"/>
        <w:textAlignment w:val="baseline"/>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b/>
          <w:bCs/>
          <w:color w:val="000000" w:themeColor="text1"/>
          <w:sz w:val="28"/>
          <w:szCs w:val="28"/>
          <w:bdr w:val="none" w:sz="0" w:space="0" w:color="auto" w:frame="1"/>
        </w:rPr>
        <w:t>4. Tổ chức thanh niên</w:t>
      </w:r>
    </w:p>
    <w:p w:rsidR="007B2798" w:rsidRPr="002125C1" w:rsidRDefault="007B2798" w:rsidP="002125C1">
      <w:pPr>
        <w:shd w:val="clear" w:color="auto" w:fill="FFFFFF"/>
        <w:spacing w:before="120" w:after="120" w:line="240" w:lineRule="auto"/>
        <w:ind w:firstLine="567"/>
        <w:jc w:val="both"/>
        <w:textAlignment w:val="baseline"/>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color w:val="000000" w:themeColor="text1"/>
          <w:sz w:val="28"/>
          <w:szCs w:val="28"/>
        </w:rPr>
        <w:t>Kế thừa Luật Thanh niên năm 2005, Luật Thanh niên (sửa đổi) đã dành 01 Chương quy định về tổ chức thanh niên (Chương IV) trong đó quy định về tổ chức thanh niên, Đoàn TNCS Hồ Chí Minh, Hội liên hiệp thanh niên Việt Nam, Hội sinh viên Việt Nam và quy định trách nhiệm của tổ chức thanh niên, chính sách của nhà nước đối với tổ chức thanh niên. Chương này đã cụ thể hóa tinh thần Kết luận số 80/KL-TW ngày 25/12/2013 của Bộ Chính trị về việc đẩy mạnh thực hiện Nghị quyết số 25-NQ/TW của Ban Chấp hành Trung ương Đảng để khẳng định vị thế và nâng cao vai trò, trách nhiệm của Đoàn TNCS Hồ Chí Minh và các tổ chức thanh niên đối với thanh niên, đặc biệt là đã có 01 Điều quy định chính sách của Nhà nước đối với tổ chức thanh niên.</w:t>
      </w:r>
    </w:p>
    <w:p w:rsidR="007B2798" w:rsidRPr="002125C1" w:rsidRDefault="007B2798" w:rsidP="002125C1">
      <w:pPr>
        <w:shd w:val="clear" w:color="auto" w:fill="FFFFFF"/>
        <w:spacing w:before="120" w:after="120" w:line="240" w:lineRule="auto"/>
        <w:ind w:firstLine="567"/>
        <w:jc w:val="both"/>
        <w:textAlignment w:val="baseline"/>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b/>
          <w:bCs/>
          <w:color w:val="000000" w:themeColor="text1"/>
          <w:sz w:val="28"/>
          <w:szCs w:val="28"/>
          <w:bdr w:val="none" w:sz="0" w:space="0" w:color="auto" w:frame="1"/>
        </w:rPr>
        <w:t>5. Về trách nhiệm của Mặt trận Tổ quốc, tổ chức xã hội, tổ chức kinh tế, cơ sỏe giáo dục, gia đình đối với thanh niên.</w:t>
      </w:r>
    </w:p>
    <w:p w:rsidR="007B2798" w:rsidRPr="002125C1" w:rsidRDefault="007B2798" w:rsidP="002125C1">
      <w:pPr>
        <w:shd w:val="clear" w:color="auto" w:fill="FFFFFF"/>
        <w:spacing w:before="120" w:after="120" w:line="240" w:lineRule="auto"/>
        <w:ind w:firstLine="567"/>
        <w:jc w:val="both"/>
        <w:textAlignment w:val="baseline"/>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color w:val="000000" w:themeColor="text1"/>
          <w:sz w:val="28"/>
          <w:szCs w:val="28"/>
        </w:rPr>
        <w:lastRenderedPageBreak/>
        <w:t>Luật Thanh niên năm 2005 không quy định trách nhiệm của Mặt trận Tổ quốc, tổ chức xã hội, tổ chức kinh tế, cơ sở giáo dục, gia đình đối với thanh niên. Khắc phục hạn chế này, Luật Thanh niên (sửa đổi) đã dành 01 Chương (Chương V) quy định về trách nhiệm của Mặt trận Tổ quốc, tổ chức xã hội, tổ chức kinh tế, cơ sở giáo dục, gia đình đối với thanh niên. Cụ thể:</w:t>
      </w:r>
    </w:p>
    <w:p w:rsidR="007B2798" w:rsidRPr="002125C1" w:rsidRDefault="007B2798" w:rsidP="002125C1">
      <w:pPr>
        <w:shd w:val="clear" w:color="auto" w:fill="FFFFFF"/>
        <w:spacing w:before="120" w:after="120" w:line="240" w:lineRule="auto"/>
        <w:ind w:firstLine="567"/>
        <w:jc w:val="both"/>
        <w:textAlignment w:val="baseline"/>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color w:val="000000" w:themeColor="text1"/>
          <w:sz w:val="28"/>
          <w:szCs w:val="28"/>
        </w:rPr>
        <w:t>Luật quy định trách nhiệm của Mặt trận Tổ quốc, tổ chức xã hội, tổ chức kinh tế trong việc phối hợp bảo vệ, chăm sóc, tạo điều kiện cho thanh niên thực hiện quyền, nghĩa vụ và trách nhiệm của mình; đồng thời tạo điều kiện cho thanh niên được học tập, lao động an toàn, phát triển thể lực, trí tuệ, tham gia các hoạt động văn hóa, thể dục thể thao, chăm sóc, bảo vệ sức khỏe và tạo điều kiện cho tổ chức Đoàn thanh niên cộng sản Hồ Chí Minh, Hội Liên hiệp thanh niên Việt Nam thành lập các tổ chức nhằm bảo vệ lợi ích hợp pháp, chính đáng của thanh niên.</w:t>
      </w:r>
    </w:p>
    <w:p w:rsidR="007B2798" w:rsidRPr="002125C1" w:rsidRDefault="007B2798" w:rsidP="002125C1">
      <w:pPr>
        <w:shd w:val="clear" w:color="auto" w:fill="FFFFFF"/>
        <w:spacing w:before="120" w:after="120" w:line="240" w:lineRule="auto"/>
        <w:ind w:firstLine="567"/>
        <w:jc w:val="both"/>
        <w:textAlignment w:val="baseline"/>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color w:val="000000" w:themeColor="text1"/>
          <w:sz w:val="28"/>
          <w:szCs w:val="28"/>
        </w:rPr>
        <w:t>Luật Thanh niên (sửa đổi) cũng quy định rõ trách nhiệm của cơ sở giáo dục, gia đình trong việc chăm lo, bảo đảm cho thanh niên được: Học tập, phát triển tài năng, giáo dục rèn luyện nhân cách, đạo đức, chăm sóc rèn luyện sức khỏe, định hướng nghề nghiệp, lao động việc làm.</w:t>
      </w:r>
    </w:p>
    <w:p w:rsidR="007B2798" w:rsidRPr="002125C1" w:rsidRDefault="007B2798" w:rsidP="002125C1">
      <w:pPr>
        <w:shd w:val="clear" w:color="auto" w:fill="FFFFFF"/>
        <w:spacing w:before="120" w:after="120" w:line="240" w:lineRule="auto"/>
        <w:ind w:firstLine="567"/>
        <w:jc w:val="both"/>
        <w:textAlignment w:val="baseline"/>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b/>
          <w:bCs/>
          <w:color w:val="000000" w:themeColor="text1"/>
          <w:sz w:val="28"/>
          <w:szCs w:val="28"/>
          <w:bdr w:val="none" w:sz="0" w:space="0" w:color="auto" w:frame="1"/>
        </w:rPr>
        <w:t>6. Về cơ quan quản lý Nhà nước về thanh niên</w:t>
      </w:r>
    </w:p>
    <w:p w:rsidR="007B2798" w:rsidRPr="002125C1" w:rsidRDefault="007B2798" w:rsidP="002125C1">
      <w:pPr>
        <w:shd w:val="clear" w:color="auto" w:fill="FFFFFF"/>
        <w:spacing w:before="120" w:after="120" w:line="240" w:lineRule="auto"/>
        <w:ind w:firstLine="567"/>
        <w:jc w:val="both"/>
        <w:textAlignment w:val="baseline"/>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color w:val="000000" w:themeColor="text1"/>
          <w:sz w:val="28"/>
          <w:szCs w:val="28"/>
        </w:rPr>
        <w:t>Luật Thanh niên năm 2005 không quy định cụ thể cơ quan nào giúp Chính phủ thực hiện nhiệm vụ quản lý nhà nước về thanh niên; đồng thời cũng không quy định trách nhiệm của các bộ, ngành trong việc phối hợp thực hiện nhiệm vụ quản lý nhà nước về thanh niên, không quy định trách nhiệm của chính quyền địa phương các cấp trong việc thực hiện nhiệm vụ quản lý nhà nước về thanh niên. Khắc phục hạn chế này, Luật Thanh  niên (sửa đổi) quy định nội dung quản lý nhà nước về thanh niên; trách nhiệm của Chính phủ; trách nhiệm của Bộ Nội vụ - cơ quan chịu trách nhiệm trước Chính phủ thực hiện quản lý nhà nước về thanh niên; quy định trách nhiệm của các bộ, cơ quan ngang bộ; trách  nhiệm của Hội đồng nhân dân, Ủy ban nhân dân cấp tỉnh trong việc thực hiện nhiệm vụ quản lý nhà nước về thanh niên và việc tổ chức triển khai chính sách, pháp luật đối với thanh niên.</w:t>
      </w:r>
    </w:p>
    <w:p w:rsidR="009D39CF" w:rsidRPr="00A4461E" w:rsidRDefault="00A33F84" w:rsidP="002125C1">
      <w:pPr>
        <w:pStyle w:val="Heading1"/>
        <w:shd w:val="clear" w:color="auto" w:fill="FFFFFF"/>
        <w:spacing w:before="120" w:beforeAutospacing="0" w:after="120" w:afterAutospacing="0"/>
        <w:ind w:firstLine="567"/>
        <w:jc w:val="both"/>
        <w:rPr>
          <w:caps/>
          <w:color w:val="000000" w:themeColor="text1"/>
          <w:sz w:val="28"/>
          <w:szCs w:val="28"/>
        </w:rPr>
      </w:pPr>
      <w:r w:rsidRPr="00A33F84">
        <w:rPr>
          <w:color w:val="000000" w:themeColor="text1"/>
          <w:sz w:val="28"/>
          <w:szCs w:val="28"/>
        </w:rPr>
        <w:t>IV</w:t>
      </w:r>
      <w:r w:rsidR="00257D90" w:rsidRPr="00A33F84">
        <w:rPr>
          <w:color w:val="000000" w:themeColor="text1"/>
          <w:sz w:val="28"/>
          <w:szCs w:val="28"/>
        </w:rPr>
        <w:t xml:space="preserve">. </w:t>
      </w:r>
      <w:r w:rsidR="00257D90" w:rsidRPr="00A4461E">
        <w:rPr>
          <w:caps/>
          <w:color w:val="000000" w:themeColor="text1"/>
          <w:sz w:val="28"/>
          <w:szCs w:val="28"/>
        </w:rPr>
        <w:t xml:space="preserve">Một số nội dung </w:t>
      </w:r>
      <w:r w:rsidR="009D39CF" w:rsidRPr="00A4461E">
        <w:rPr>
          <w:caps/>
          <w:color w:val="000000" w:themeColor="text1"/>
          <w:sz w:val="28"/>
          <w:szCs w:val="28"/>
        </w:rPr>
        <w:t>Luật Doanh nghiệp (sửa đổi)</w:t>
      </w:r>
    </w:p>
    <w:p w:rsidR="007B2798" w:rsidRPr="002125C1" w:rsidRDefault="007B2798" w:rsidP="002125C1">
      <w:pPr>
        <w:pStyle w:val="Heading2"/>
        <w:shd w:val="clear" w:color="auto" w:fill="FFFFFF"/>
        <w:spacing w:before="120" w:beforeAutospacing="0" w:after="120" w:afterAutospacing="0"/>
        <w:ind w:firstLine="567"/>
        <w:jc w:val="both"/>
        <w:rPr>
          <w:color w:val="000000" w:themeColor="text1"/>
          <w:sz w:val="28"/>
          <w:szCs w:val="28"/>
        </w:rPr>
      </w:pPr>
      <w:r w:rsidRPr="002125C1">
        <w:rPr>
          <w:rStyle w:val="Strong"/>
          <w:b/>
          <w:bCs/>
          <w:color w:val="000000" w:themeColor="text1"/>
          <w:sz w:val="28"/>
          <w:szCs w:val="28"/>
        </w:rPr>
        <w:t>1. Không phải thông báo mẫu dấu trước khi dùng</w:t>
      </w:r>
    </w:p>
    <w:p w:rsidR="007B2798" w:rsidRPr="00A33F84" w:rsidRDefault="007B2798"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Hiện nay, trước khi sử dụng, doanh nghiệp có nghĩa vụ thông báo mẫu con dấu với cơ quan đăng ký kinh doanh để đăng tải công khai trên Cổng thông tin quốc gia về đăng ký doanh nghiệp (theo khoản 2 Điều 44 </w:t>
      </w:r>
      <w:hyperlink r:id="rId9" w:history="1">
        <w:r w:rsidRPr="00A33F84">
          <w:rPr>
            <w:rStyle w:val="Hyperlink"/>
            <w:color w:val="000000" w:themeColor="text1"/>
            <w:sz w:val="28"/>
            <w:szCs w:val="28"/>
            <w:u w:val="none"/>
          </w:rPr>
          <w:t>Luật Doanh nghiệp năm 2014</w:t>
        </w:r>
      </w:hyperlink>
      <w:r w:rsidRPr="00A33F84">
        <w:rPr>
          <w:color w:val="000000" w:themeColor="text1"/>
          <w:sz w:val="28"/>
          <w:szCs w:val="28"/>
        </w:rPr>
        <w:t>).</w:t>
      </w:r>
    </w:p>
    <w:p w:rsidR="007B2798" w:rsidRPr="002125C1" w:rsidRDefault="007B2798" w:rsidP="002125C1">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color w:val="000000" w:themeColor="text1"/>
          <w:sz w:val="28"/>
          <w:szCs w:val="28"/>
        </w:rPr>
        <w:t>Còn Luật Doanh nghiệp mới không quy định doanh nghiệp phải thông báo mẫu dấu với cơ quan đăng ký kinh doanh.</w:t>
      </w:r>
    </w:p>
    <w:p w:rsidR="007B2798" w:rsidRPr="002125C1" w:rsidRDefault="007B2798" w:rsidP="002125C1">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color w:val="000000" w:themeColor="text1"/>
          <w:sz w:val="28"/>
          <w:szCs w:val="28"/>
        </w:rPr>
        <w:t>Theo đó, Luật này quy định dấu bao gồm dấu được làm tại các cơ sở khắc dấu hoặc dưới hình thức chữ ký số theo quy định của pháp luật về giao dịch điện tử và chữ ký số.</w:t>
      </w:r>
    </w:p>
    <w:p w:rsidR="007B2798" w:rsidRPr="002125C1" w:rsidRDefault="007B2798" w:rsidP="002125C1">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color w:val="000000" w:themeColor="text1"/>
          <w:sz w:val="28"/>
          <w:szCs w:val="28"/>
        </w:rPr>
        <w:lastRenderedPageBreak/>
        <w:t>Doanh nghiệp được quyết định loại dấu; quyết định số lượng, hình thức và nội dung dấu của doanh nghiệp, chi nhánh, văn phòng đại diện và đơn vị khác của doanh nghiệp.</w:t>
      </w:r>
    </w:p>
    <w:p w:rsidR="007B2798" w:rsidRPr="002125C1" w:rsidRDefault="007B2798" w:rsidP="002125C1">
      <w:pPr>
        <w:pStyle w:val="Heading2"/>
        <w:shd w:val="clear" w:color="auto" w:fill="FFFFFF"/>
        <w:spacing w:before="120" w:beforeAutospacing="0" w:after="120" w:afterAutospacing="0"/>
        <w:ind w:firstLine="567"/>
        <w:jc w:val="both"/>
        <w:rPr>
          <w:color w:val="000000" w:themeColor="text1"/>
          <w:sz w:val="28"/>
          <w:szCs w:val="28"/>
        </w:rPr>
      </w:pPr>
      <w:r w:rsidRPr="002125C1">
        <w:rPr>
          <w:rStyle w:val="Strong"/>
          <w:b/>
          <w:bCs/>
          <w:color w:val="000000" w:themeColor="text1"/>
          <w:sz w:val="28"/>
          <w:szCs w:val="28"/>
        </w:rPr>
        <w:t>2. Sẽ ban hành Luật riêng cho 50 triệu hộ kinh doanh</w:t>
      </w:r>
    </w:p>
    <w:p w:rsidR="007B2798" w:rsidRPr="002125C1" w:rsidRDefault="007B2798"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Theo tìm hiểu, hiện có khoảng 05 triệu hộ kinh doanh nhiều gấp 05 - 06 lần số doanh nghiệp.</w:t>
      </w:r>
    </w:p>
    <w:p w:rsidR="007B2798" w:rsidRPr="002125C1" w:rsidRDefault="007B2798"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Bản chất hoạt động, cách thức và quy mô của hộ kinh doanh rất khác so với doanh nghiệp, theo đó, không đưa hộ kinh doanh vào đối tượng áp dụng của Luật Doanh nghiệp sửa đổi năm 2020 mà sẽ ban hành một Luật riêng để điều chỉnh về đối tượng này.</w:t>
      </w:r>
    </w:p>
    <w:p w:rsidR="00532E83" w:rsidRPr="002125C1" w:rsidRDefault="007B2798"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Đồng thời, trong thời gian chờ đợi Luật, Chính phủ sẽ hướng dẫn đăng ký và hoạt động đối với hộ kinh doanh.</w:t>
      </w:r>
    </w:p>
    <w:p w:rsidR="007B2798" w:rsidRPr="002125C1" w:rsidRDefault="007B2798" w:rsidP="002125C1">
      <w:pPr>
        <w:pStyle w:val="Heading2"/>
        <w:shd w:val="clear" w:color="auto" w:fill="FFFFFF"/>
        <w:spacing w:before="120" w:beforeAutospacing="0" w:after="120" w:afterAutospacing="0"/>
        <w:ind w:firstLine="567"/>
        <w:jc w:val="both"/>
        <w:rPr>
          <w:color w:val="000000" w:themeColor="text1"/>
          <w:sz w:val="28"/>
          <w:szCs w:val="28"/>
        </w:rPr>
      </w:pPr>
      <w:r w:rsidRPr="002125C1">
        <w:rPr>
          <w:rStyle w:val="Strong"/>
          <w:b/>
          <w:bCs/>
          <w:color w:val="000000" w:themeColor="text1"/>
          <w:sz w:val="28"/>
          <w:szCs w:val="28"/>
        </w:rPr>
        <w:t>3. Thêm đối tượng bị cấm thành lập doanh nghiệp</w:t>
      </w:r>
    </w:p>
    <w:p w:rsidR="007B2798" w:rsidRPr="002125C1" w:rsidRDefault="007B2798"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Bên cạnh các tổ chức, cá nhân không có quyền thành lập và quản lý doanh nghiệp tại Việt Nam sau đây:</w:t>
      </w:r>
    </w:p>
    <w:p w:rsidR="007B2798" w:rsidRPr="002125C1" w:rsidRDefault="007B2798"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Cơ quan Nhà nước, đơn vị vũ trang nhân dân sử dụng tài sản nhà nước để thành lập doanh nghiệp kinh doanh thu lợi riêng cho cơ quan, đơn vị mình;</w:t>
      </w:r>
    </w:p>
    <w:p w:rsidR="007B2798" w:rsidRPr="002125C1" w:rsidRDefault="007B2798"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Cán bộ, công chức, viên chức;</w:t>
      </w:r>
    </w:p>
    <w:p w:rsidR="007B2798" w:rsidRPr="002125C1" w:rsidRDefault="007B2798"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Sĩ quan, hạ sĩ quan, quân nhân chuyên nghiệp, công nhân, viên chức quốc phòng trong các cơ quan, đơn vị thuộc Quân đội nhân dân; sĩ quan, hạ sĩ quan chuyên nghiệp trong các cơ quan, đơn vị thuộc Công an nhân dân Việt Nam, trừ những người được cử làm đại diện theo ủy quyền để quản lý phần vốn góp của Nhà nước tại doanh nghiệp;</w:t>
      </w:r>
    </w:p>
    <w:p w:rsidR="007B2798" w:rsidRPr="002125C1" w:rsidRDefault="007B2798"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Cán bộ lãnh đạo, quản lý nghiệp vụ trong doanh nghiệp nhà nước, trừ những người được cử làm đại diện theo ủy quyền để quản lý phần vốn góp của Nhà nước tại doanh nghiệp khác;</w:t>
      </w:r>
    </w:p>
    <w:p w:rsidR="007B2798" w:rsidRPr="002125C1" w:rsidRDefault="007B2798"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Người chưa thành niên; người bị hạn chế năng lực hành vi dân sự hoặc bị mất năng lực hành vi dân sự; tổ chức không có tư cách pháp nhân;</w:t>
      </w:r>
    </w:p>
    <w:p w:rsidR="007B2798" w:rsidRPr="002125C1" w:rsidRDefault="007B2798"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Người đang bị truy cứu trách nhiệm hình sự, chấp hành hình phạt tù, quyết định xử lý hành chính tại cơ sở cai nghiện bắt buộc, cơ sở giáo dục bắt buộc hoặc đang bị cấm hành nghề kinh doanh, đảm nhiệm chức vụ hoặc làm công việc nhất định liên quan đến kinh doanh theo quyết định của Tòa án; các trường hợp khác theo quy định của pháp luật về phá sản, phòng, chống tham nhũng.</w:t>
      </w:r>
    </w:p>
    <w:p w:rsidR="007B2798" w:rsidRPr="0062004C" w:rsidRDefault="007B2798"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Luật Doanh nghiệp sửa đổi còn bổ sung thêm 01 đối tượng khác không được thành lập và quản lý doanh nghiệp: </w:t>
      </w:r>
      <w:r w:rsidRPr="0062004C">
        <w:rPr>
          <w:rStyle w:val="Emphasis"/>
          <w:bCs/>
          <w:color w:val="000000" w:themeColor="text1"/>
          <w:sz w:val="28"/>
          <w:szCs w:val="28"/>
        </w:rPr>
        <w:t>Tổ chức là pháp nhân thương mại bị cấm kinh doanh, cấm hoạt động trong một số lĩnh vực nhất định theo quy định của Bộ luật Hình sự.</w:t>
      </w:r>
    </w:p>
    <w:p w:rsidR="00532E83" w:rsidRPr="002125C1" w:rsidRDefault="007B2798"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lastRenderedPageBreak/>
        <w:t>Như vậy, từ ngày 01/01/2021 sẽ có 07 nhóm đối tượng bị cấm thành lập và quản lý doanh nghiệp.</w:t>
      </w:r>
    </w:p>
    <w:p w:rsidR="007B2798" w:rsidRPr="002125C1" w:rsidRDefault="007B2798" w:rsidP="002125C1">
      <w:pPr>
        <w:pStyle w:val="Heading2"/>
        <w:shd w:val="clear" w:color="auto" w:fill="FFFFFF"/>
        <w:spacing w:before="120" w:beforeAutospacing="0" w:after="120" w:afterAutospacing="0"/>
        <w:ind w:firstLine="567"/>
        <w:jc w:val="both"/>
        <w:rPr>
          <w:color w:val="000000" w:themeColor="text1"/>
          <w:sz w:val="28"/>
          <w:szCs w:val="28"/>
        </w:rPr>
      </w:pPr>
      <w:r w:rsidRPr="002125C1">
        <w:rPr>
          <w:rStyle w:val="Strong"/>
          <w:b/>
          <w:bCs/>
          <w:color w:val="000000" w:themeColor="text1"/>
          <w:sz w:val="28"/>
          <w:szCs w:val="28"/>
        </w:rPr>
        <w:t>4. Thay đổi tỷ lệ vốn trong doanh nghiệp Nhà nước</w:t>
      </w:r>
    </w:p>
    <w:p w:rsidR="007B2798" w:rsidRPr="002125C1" w:rsidRDefault="007B2798"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rStyle w:val="Emphasis"/>
          <w:color w:val="000000" w:themeColor="text1"/>
          <w:sz w:val="28"/>
          <w:szCs w:val="28"/>
        </w:rPr>
        <w:t>Doanh nghiệp Nhà nước</w:t>
      </w:r>
      <w:r w:rsidRPr="002125C1">
        <w:rPr>
          <w:color w:val="000000" w:themeColor="text1"/>
          <w:sz w:val="28"/>
          <w:szCs w:val="28"/>
        </w:rPr>
        <w:t> bao gồm các doanh nghiệp do Nhà nước nắm giữ trên 50% vốn điều lệ, tổng số cổ phần có quyền biểu quyết thay vì 100% vốn điều lệ như hiện nay.</w:t>
      </w:r>
    </w:p>
    <w:p w:rsidR="007B2798" w:rsidRPr="002125C1" w:rsidRDefault="007B2798"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Cụ thể, Điều 88 Luật Doanh nghiệp sửa đổi khái niệm doanh nghiệp Nhà nước theo nguyên tắc phân chia các loại doanh nghiệp có sở hữu Nhà nước theo mức độ sở hữu khác nhau:</w:t>
      </w:r>
    </w:p>
    <w:p w:rsidR="007B2798" w:rsidRPr="002125C1" w:rsidRDefault="007B2798"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Doanh nghiệp nhà nước được tổ chức quản lý dưới hình thức công ty trách nhiệm hữu hạn, công ty cổ phần, bao gồm:</w:t>
      </w:r>
    </w:p>
    <w:p w:rsidR="007B2798" w:rsidRPr="002125C1" w:rsidRDefault="007B2798"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Doanh nghiệp do Nhà nước nắm giữ 100% vốn điều lệ;</w:t>
      </w:r>
    </w:p>
    <w:p w:rsidR="007B2798" w:rsidRPr="002125C1" w:rsidRDefault="007B2798"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Doanh nghiệp do Nhà nước nắm giữ trên 50% vốn điều lệ hoặc tổng số cổ phần có quyền biểu quyết trở lên, trừ doanh nghiệp do Nhà nước nắm giữ 100% vốn điều lệ.</w:t>
      </w:r>
    </w:p>
    <w:p w:rsidR="007B2798" w:rsidRPr="002125C1" w:rsidRDefault="007B2798"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Trong đó, doanh nghiệp do Nhà nước nắm giữ 100% vốn điều lệ gồm:</w:t>
      </w:r>
    </w:p>
    <w:p w:rsidR="007B2798" w:rsidRPr="002125C1" w:rsidRDefault="007B2798"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Công ty trách nhiệm hữu hạn một thành viên do Nhà nước nắm giữ 100% vốn điều lệ là công ty mẹ của tập đoàn kinh tế nhà nước, công ty mẹ của tổng công ty nhà nước, công ty mẹ trong nhóm công ty mẹ - công ty con;</w:t>
      </w:r>
    </w:p>
    <w:p w:rsidR="007B2798" w:rsidRPr="002125C1" w:rsidRDefault="007B2798"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Công ty trách nhiệm hữu hạn một thành viên là công ty độc lập do Nhà nước nắm giữ 100% vốn điều lệ.</w:t>
      </w:r>
    </w:p>
    <w:p w:rsidR="007B2798" w:rsidRPr="002125C1" w:rsidRDefault="007B2798"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Còn doanh nghiệp do Nhà nước nắm giữ trên 50% vốn điều lệ hoặc tổng số cổ phần có quyền biểu quyết gồm:</w:t>
      </w:r>
    </w:p>
    <w:p w:rsidR="007B2798" w:rsidRPr="002125C1" w:rsidRDefault="007B2798"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Công ty trách nhiệm hữu hạn hai thành viên trở lên, công ty cổ phần do Nhà nước nắm giữ trên 50% vốn điều lệ, tổng số cổ phần có quyền biểu quyết là công ty mẹ tập đoàn kinh tế, tổng công ty hoặc trong nhóm công ty mẹ - công ty con.</w:t>
      </w:r>
    </w:p>
    <w:p w:rsidR="007B2798" w:rsidRPr="002125C1" w:rsidRDefault="007B2798"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Công ty trách nhiệm hữu hạn hai thành viên trở lên, công ty cổ phần là công ty độc lập do Nhà nước nắm giữ trên 50% vốn điều lệ, tổng số cổ phần có quyền biểu quyết.</w:t>
      </w:r>
    </w:p>
    <w:p w:rsidR="00532E83" w:rsidRPr="002125C1" w:rsidRDefault="00532E83" w:rsidP="002125C1">
      <w:pPr>
        <w:pStyle w:val="Heading2"/>
        <w:shd w:val="clear" w:color="auto" w:fill="FFFFFF"/>
        <w:spacing w:before="120" w:beforeAutospacing="0" w:after="120" w:afterAutospacing="0"/>
        <w:ind w:firstLine="567"/>
        <w:rPr>
          <w:color w:val="000000" w:themeColor="text1"/>
          <w:sz w:val="28"/>
          <w:szCs w:val="28"/>
        </w:rPr>
      </w:pPr>
      <w:r w:rsidRPr="002125C1">
        <w:rPr>
          <w:rStyle w:val="Strong"/>
          <w:b/>
          <w:bCs/>
          <w:color w:val="000000" w:themeColor="text1"/>
          <w:sz w:val="28"/>
          <w:szCs w:val="28"/>
        </w:rPr>
        <w:t>5. Bỏ quy định về thời hạn sở hữu cổ phần phổ thông</w:t>
      </w:r>
    </w:p>
    <w:p w:rsidR="007B2798" w:rsidRPr="002125C1" w:rsidRDefault="007B2798" w:rsidP="002125C1">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color w:val="000000" w:themeColor="text1"/>
          <w:sz w:val="28"/>
          <w:szCs w:val="28"/>
        </w:rPr>
        <w:t>Luật Doanh nghiệp sửa đổi năm 2020 đã bỏ quy định cổ đông hoặc nhóm cổ đông phải sở hữu cổ phần phổ thông trong thời hạn liên tục ít nhất 06 tháng tại khoản 2 Điều 114 Luật hiện hành để bảo đảm việc thực hiện các quyền của cổ đông không làm ảnh hưởng đến việc điều hành hoạt động sản xuất, kinh doanh bình thường của doanh nghiệp.</w:t>
      </w:r>
    </w:p>
    <w:p w:rsidR="007B2798" w:rsidRPr="002125C1" w:rsidRDefault="007B2798" w:rsidP="002125C1">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color w:val="000000" w:themeColor="text1"/>
          <w:sz w:val="28"/>
          <w:szCs w:val="28"/>
        </w:rPr>
        <w:t>Theo đó, cổ đông hoặc nhóm cổ đông sở hữu từ 05% (thay vì 10%) tổng số cổ phần phổ thông trở lên hoặc một tỷ lệ khác nhỏ hơn quy định tại Điều lệ công ty có các quyền sau đây:</w:t>
      </w:r>
    </w:p>
    <w:p w:rsidR="007B2798" w:rsidRPr="002125C1" w:rsidRDefault="007B2798" w:rsidP="002125C1">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color w:val="000000" w:themeColor="text1"/>
          <w:sz w:val="28"/>
          <w:szCs w:val="28"/>
        </w:rPr>
        <w:lastRenderedPageBreak/>
        <w:t>- Xem xét và trích lục sổ biên bản và các nghị quyết của Hội đồng quản trị, báo cáo tài chính giữa năm và hằng năm theo mẫu của hệ thống kế toán Việt Nam và các báo cáo của Ban kiểm soát, hợp đồng, giao dịch phải thông qua Hội đồng quản trị và tài liệu khác trừ tài liệu liên quan đến bí mật thương mại, bí mật kinh doanh của công ty;</w:t>
      </w:r>
    </w:p>
    <w:p w:rsidR="007B2798" w:rsidRPr="002125C1" w:rsidRDefault="007B2798" w:rsidP="002125C1">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color w:val="000000" w:themeColor="text1"/>
          <w:sz w:val="28"/>
          <w:szCs w:val="28"/>
        </w:rPr>
        <w:t>- Yêu cầu triệu tập họp Đại hội đồng cổ đông trong một số trường hợp;</w:t>
      </w:r>
    </w:p>
    <w:p w:rsidR="007B2798" w:rsidRPr="002125C1" w:rsidRDefault="007B2798" w:rsidP="002125C1">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color w:val="000000" w:themeColor="text1"/>
          <w:sz w:val="28"/>
          <w:szCs w:val="28"/>
        </w:rPr>
        <w:t>- Yêu cầu Ban kiểm soát kiểm tra từng vấn đề cụ thể liên quan đến quản lý, điều hành hoạt động của công ty khi xét thấy cần thiết;</w:t>
      </w:r>
    </w:p>
    <w:p w:rsidR="007B2798" w:rsidRPr="002125C1" w:rsidRDefault="007B2798" w:rsidP="002125C1">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color w:val="000000" w:themeColor="text1"/>
          <w:sz w:val="28"/>
          <w:szCs w:val="28"/>
        </w:rPr>
        <w:t>- Các quyền khác theo quy định của Luật Doanh nghiệp 2020 và Điều lệ công ty.</w:t>
      </w:r>
    </w:p>
    <w:p w:rsidR="007B2798" w:rsidRPr="002125C1" w:rsidRDefault="007B2798" w:rsidP="002125C1">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rPr>
      </w:pPr>
      <w:r w:rsidRPr="002125C1">
        <w:rPr>
          <w:rFonts w:ascii="Times New Roman" w:eastAsia="Times New Roman" w:hAnsi="Times New Roman" w:cs="Times New Roman"/>
          <w:color w:val="000000" w:themeColor="text1"/>
          <w:sz w:val="28"/>
          <w:szCs w:val="28"/>
        </w:rPr>
        <w:t>Trên đây là những thay đổi của Luật Doanh nghiệp sửa đổi so với Lu</w:t>
      </w:r>
      <w:r w:rsidR="002E6145" w:rsidRPr="002125C1">
        <w:rPr>
          <w:rFonts w:ascii="Times New Roman" w:eastAsia="Times New Roman" w:hAnsi="Times New Roman" w:cs="Times New Roman"/>
          <w:color w:val="000000" w:themeColor="text1"/>
          <w:sz w:val="28"/>
          <w:szCs w:val="28"/>
        </w:rPr>
        <w:t>ật Doanh nghiệp 2014 hiện hành.</w:t>
      </w:r>
    </w:p>
    <w:p w:rsidR="009D39CF" w:rsidRPr="00A4461E" w:rsidRDefault="00A33F84" w:rsidP="002125C1">
      <w:pPr>
        <w:pStyle w:val="Heading1"/>
        <w:shd w:val="clear" w:color="auto" w:fill="FFFFFF"/>
        <w:spacing w:before="120" w:beforeAutospacing="0" w:after="120" w:afterAutospacing="0"/>
        <w:ind w:firstLine="567"/>
        <w:jc w:val="both"/>
        <w:rPr>
          <w:caps/>
          <w:color w:val="000000" w:themeColor="text1"/>
          <w:sz w:val="28"/>
          <w:szCs w:val="28"/>
        </w:rPr>
      </w:pPr>
      <w:r>
        <w:rPr>
          <w:color w:val="000000" w:themeColor="text1"/>
          <w:sz w:val="28"/>
          <w:szCs w:val="28"/>
        </w:rPr>
        <w:t>V</w:t>
      </w:r>
      <w:r w:rsidR="00257D90" w:rsidRPr="002125C1">
        <w:rPr>
          <w:color w:val="000000" w:themeColor="text1"/>
          <w:sz w:val="28"/>
          <w:szCs w:val="28"/>
        </w:rPr>
        <w:t xml:space="preserve">. </w:t>
      </w:r>
      <w:r w:rsidR="009D39CF" w:rsidRPr="00A4461E">
        <w:rPr>
          <w:caps/>
          <w:color w:val="000000" w:themeColor="text1"/>
          <w:sz w:val="28"/>
          <w:szCs w:val="28"/>
        </w:rPr>
        <w:t>Luật sửa đổi, bổ sung một số điều của Luật Phòng, chống thiên tai và Luật Đê điều</w:t>
      </w:r>
    </w:p>
    <w:p w:rsidR="009D39CF" w:rsidRPr="002125C1" w:rsidRDefault="009D39CF"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Luật sửa đổi, bổ sung một số điều của Luật Phòng, chống thiên tai và Luật Đê điều có bố cục gồm 03 Điều. Cụ thể, Điều 1 quy định về sửa đổi, bổ sung một số điều của </w:t>
      </w:r>
      <w:hyperlink r:id="rId10" w:tgtFrame="_blank" w:history="1">
        <w:r w:rsidRPr="002125C1">
          <w:rPr>
            <w:rStyle w:val="Hyperlink"/>
            <w:color w:val="000000" w:themeColor="text1"/>
            <w:sz w:val="28"/>
            <w:szCs w:val="28"/>
            <w:u w:val="none"/>
          </w:rPr>
          <w:t>Luật Phòng, chống thiên tai</w:t>
        </w:r>
      </w:hyperlink>
      <w:r w:rsidRPr="002125C1">
        <w:rPr>
          <w:color w:val="000000" w:themeColor="text1"/>
          <w:sz w:val="28"/>
          <w:szCs w:val="28"/>
        </w:rPr>
        <w:t>; Điều 2 quy định về sửa đổi, bổ sung một số điều của </w:t>
      </w:r>
      <w:hyperlink r:id="rId11" w:tgtFrame="_blank" w:history="1">
        <w:r w:rsidRPr="002125C1">
          <w:rPr>
            <w:rStyle w:val="Hyperlink"/>
            <w:color w:val="000000" w:themeColor="text1"/>
            <w:sz w:val="28"/>
            <w:szCs w:val="28"/>
            <w:u w:val="none"/>
          </w:rPr>
          <w:t>Luật Đê điều</w:t>
        </w:r>
      </w:hyperlink>
      <w:r w:rsidRPr="002125C1">
        <w:rPr>
          <w:color w:val="000000" w:themeColor="text1"/>
          <w:sz w:val="28"/>
          <w:szCs w:val="28"/>
        </w:rPr>
        <w:t>; Điều 3 quy định về hiệu lực thi hành.</w:t>
      </w:r>
    </w:p>
    <w:p w:rsidR="009D39CF" w:rsidRPr="002125C1" w:rsidRDefault="009D39CF"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Theo đó, về sửa đổi, bổ sung một số điều của Luật Phòng, chống thiên tai, Luật quy định nguồn nhân lực cho phòng, chống thiên tai bao gồm: Tổ chức, hộ gia đình và cá nhân trên địa bàn là lực lượng tại chỗ thực hiện hoạt động phòng, chống thiên tai; Dân quân tự vệ là lực lượng tại chỗ thực hiện nhiệm vụ phòng, chống thiên tai theo phương án ứng phó thiên tai của địa phương và sự điều động của người có thẩm quyền; Quân đội nhân dân, Công an nhân dân có trách nhiệm thực hiện nhiệm vụ phòng, chống thiên tai và là lực lượng nòng cốt trong công tác sơ tán người, phương tiện, tài sản, cứu hộ, cứu nạn, bảo đảm an ninh, trật tự an toàn xã hội theo sự điều động của người có thẩm quyền; Tổ chức, cá nhân tình nguyện tham gia hỗ trợ hoạt động phòng, chống thiên tai thực hiện nhiệm vụ theo sự chỉ huy của người có thẩm quyền; Người làm công tác phòng, chống thiên tai tại cơ quan nhà nước thực hiện nhiệm vụ phòng, chống thiên tai.</w:t>
      </w:r>
    </w:p>
    <w:p w:rsidR="009D39CF" w:rsidRPr="002125C1" w:rsidRDefault="009D39CF"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Lực lượng xung kích phòng, chống thiên tai cấp xã được thành lập ở cấp xã, hoạt động kiêm nhiệm, do Chủ tịch Ủy ban nhân dân cấp xã quyết định trên cơ sở nguồn nhân lực quy định tại điểm a và điểm b khoản 1 Điều này, bao gồm dân quân ở thôn, ấp, bản, làng, buôn, bon, phum, sóc, tổ dân phố, khu phố, khối phố, khóm, tiểu khu; dân quân ở cấp xã và tổ chức khác tại địa phương thực hiện nhiệm vụ phòng, chống thiên tai theo phương án ứng phó thiên tai của địa phương.</w:t>
      </w:r>
    </w:p>
    <w:p w:rsidR="009D39CF" w:rsidRPr="002125C1" w:rsidRDefault="009D39CF"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xml:space="preserve">Luật cũng bổ sung quy định ưu tiên bố trí nguồn lực nghiên cứu, điều tra cơ bản, xây dựng và triển khai các chương trình khoa học và công nghệ trong phòng, chống thiên tai; tăng cường các giải pháp khắc phục hậu quả thiên tai; ưu tiên đào tạo, bồi dưỡng, tập huấn, huấn luyện nâng cao năng lực cho người làm </w:t>
      </w:r>
      <w:r w:rsidRPr="002125C1">
        <w:rPr>
          <w:color w:val="000000" w:themeColor="text1"/>
          <w:sz w:val="28"/>
          <w:szCs w:val="28"/>
        </w:rPr>
        <w:lastRenderedPageBreak/>
        <w:t>công tác phòng, chống thiên tai; huấn luyện, cung cấp phương tiện, trang thiết bị cho lực lượng xung kích phòng, chống thiên tai cấp xã.</w:t>
      </w:r>
    </w:p>
    <w:p w:rsidR="009D39CF" w:rsidRPr="002125C1" w:rsidRDefault="009D39CF"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Về ngân sách Nhà nước cho phòng, chống thiên tai, Luật quy định rõ: Ngân sách nhà nước bảo đảm cho phòng, chống thiên tai bao gồm ngân sách hằng năm, dự phòng ngân sách nhà nước, quỹ dự trữ tài chính. Ngân sách nhà nước cho phòng, chống thiên tai được sử dụng cho xây dựng và thực hiện chiến lược, kế hoạch, điều tra cơ bản phòng, chống thiên tai; đầu tư, xây dựng, tu bổ, nâng cấp công trình phòng, chống thiên tai; hoạt động phòng, chống thiên tai; hoạt động thường xuyên của cơ quan quản lý nhà nước về phòng, chống thiên tai các cấp. Việc lập dự toán, phân bổ, quản lý và sử dụng ngân sách nhà nước cho phòng, chống thiên tai được thực hiện theo quy định của pháp luật về ngân sách nhà nước và quy định khác của pháp luật có liên quan.</w:t>
      </w:r>
    </w:p>
    <w:p w:rsidR="009D39CF" w:rsidRPr="002125C1" w:rsidRDefault="009D39CF"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Về sửa đổi, bổ sung một số điều của Luật Đê điều, Luật quy định việc xây dựng cầu qua sông có đê phải bảo đảm thoát lũ, thông thoáng dòng chảy, an toàn đê điều theo quy định của Luật này và bảo đảm giao thông đường thủy theo quy định của pháp luật về giao thông đường thủy nội địa; vật liệu phế thải và lán trại trong quá trình thi công không được ảnh hưởng đến dòng chảy và phải được thanh thải sau khi công trình hoàn thành. Thủ tướng Chính phủ quy định nội dung bảo đảm thoát lũ, thông thoáng dòng chảy, an toàn đê điều đối với việc xây dựng cầu qua sông có đê.</w:t>
      </w:r>
    </w:p>
    <w:p w:rsidR="009D39CF" w:rsidRPr="002125C1" w:rsidRDefault="009D39CF"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Bên cạnh đó, Luật quy định Bộ Công Thương chủ trì, phối hợp với bộ, cơ quan ngang bộ và Ủy ban nhân dân cấp tỉnh chỉ đạo việc xây dựng và thực hiện phương án bảo đảm an toàn các công trình thủy điện, chỉ đạo thực hiện vận hành hồ chứa thủy điện theo quy chuẩn kỹ thuật quốc gia về vận hành hồ chứa thủy điện.</w:t>
      </w:r>
    </w:p>
    <w:p w:rsidR="009D39CF" w:rsidRPr="002125C1" w:rsidRDefault="009D39CF"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Luật sẽ có hiệu lực thi hành từ ngày 01 tháng 7 năm 2021./.</w:t>
      </w:r>
    </w:p>
    <w:p w:rsidR="009D39CF" w:rsidRPr="00A4461E" w:rsidRDefault="00A33F84" w:rsidP="002125C1">
      <w:pPr>
        <w:pStyle w:val="Heading1"/>
        <w:shd w:val="clear" w:color="auto" w:fill="FFFFFF"/>
        <w:spacing w:before="120" w:beforeAutospacing="0" w:after="120" w:afterAutospacing="0"/>
        <w:ind w:firstLine="567"/>
        <w:jc w:val="both"/>
        <w:rPr>
          <w:caps/>
          <w:color w:val="000000" w:themeColor="text1"/>
          <w:sz w:val="28"/>
          <w:szCs w:val="28"/>
        </w:rPr>
      </w:pPr>
      <w:r>
        <w:rPr>
          <w:color w:val="000000" w:themeColor="text1"/>
          <w:sz w:val="28"/>
          <w:szCs w:val="28"/>
        </w:rPr>
        <w:t>VI</w:t>
      </w:r>
      <w:r w:rsidR="008910D2" w:rsidRPr="002125C1">
        <w:rPr>
          <w:color w:val="000000" w:themeColor="text1"/>
          <w:sz w:val="28"/>
          <w:szCs w:val="28"/>
        </w:rPr>
        <w:t xml:space="preserve">. </w:t>
      </w:r>
      <w:r w:rsidR="008910D2" w:rsidRPr="00A4461E">
        <w:rPr>
          <w:caps/>
          <w:color w:val="000000" w:themeColor="text1"/>
          <w:sz w:val="28"/>
          <w:szCs w:val="28"/>
        </w:rPr>
        <w:t xml:space="preserve">Một số nội dung </w:t>
      </w:r>
      <w:r w:rsidR="009D39CF" w:rsidRPr="00A4461E">
        <w:rPr>
          <w:caps/>
          <w:color w:val="000000" w:themeColor="text1"/>
          <w:sz w:val="28"/>
          <w:szCs w:val="28"/>
        </w:rPr>
        <w:t>Luật đầu tư</w:t>
      </w:r>
      <w:r w:rsidR="007B6233" w:rsidRPr="00A4461E">
        <w:rPr>
          <w:caps/>
          <w:color w:val="000000" w:themeColor="text1"/>
          <w:sz w:val="28"/>
          <w:szCs w:val="28"/>
        </w:rPr>
        <w:t xml:space="preserve"> (sửa đổi)</w:t>
      </w:r>
    </w:p>
    <w:p w:rsidR="007B6233" w:rsidRPr="002125C1" w:rsidRDefault="007B6233" w:rsidP="002125C1">
      <w:pPr>
        <w:pStyle w:val="Heading2"/>
        <w:shd w:val="clear" w:color="auto" w:fill="FFFFFF"/>
        <w:spacing w:before="120" w:beforeAutospacing="0" w:after="120" w:afterAutospacing="0"/>
        <w:ind w:firstLine="567"/>
        <w:jc w:val="both"/>
        <w:rPr>
          <w:color w:val="000000" w:themeColor="text1"/>
          <w:sz w:val="28"/>
          <w:szCs w:val="28"/>
        </w:rPr>
      </w:pPr>
      <w:r w:rsidRPr="002125C1">
        <w:rPr>
          <w:rStyle w:val="Strong"/>
          <w:b/>
          <w:bCs/>
          <w:color w:val="000000" w:themeColor="text1"/>
          <w:sz w:val="28"/>
          <w:szCs w:val="28"/>
        </w:rPr>
        <w:t>1. Bãi bỏ dịch vụ đòi nợ thuê</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Trong Luật Đầu tư sửa đổi, kinh doanh dịch vụ đòi nợ đã bị loại khỏi Danh mục ngành, nghề đầu tư kinh doanh có điều kiện, mà chính thức được chuyển vào Danh mục ngành, nghề cấm đầu tư kinh doanh.</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Luật cũng quy định điều khoản chuyển tiếp là giao dịch cung cấp dịch vụ đòi nợ trước ngày Luật này có hiệu lực thi hành (01/01/2021) chấm dứt hiệu lực kể từ ngày Luật này có hiệu lực thi hành và các bên tham gia giao dịch được thực hiện các hoạt động để thanh lý giao dịch đòi nợ theo quy định của pháp luật về dân sự và pháp luật có liên quan.</w:t>
      </w:r>
    </w:p>
    <w:p w:rsidR="007B6233" w:rsidRPr="002125C1" w:rsidRDefault="007B6233" w:rsidP="002125C1">
      <w:pPr>
        <w:pStyle w:val="Heading2"/>
        <w:shd w:val="clear" w:color="auto" w:fill="FFFFFF"/>
        <w:spacing w:before="120" w:beforeAutospacing="0" w:after="120" w:afterAutospacing="0"/>
        <w:ind w:firstLine="567"/>
        <w:jc w:val="both"/>
        <w:rPr>
          <w:color w:val="000000" w:themeColor="text1"/>
          <w:sz w:val="28"/>
          <w:szCs w:val="28"/>
        </w:rPr>
      </w:pPr>
      <w:r w:rsidRPr="002125C1">
        <w:rPr>
          <w:rStyle w:val="Strong"/>
          <w:b/>
          <w:bCs/>
          <w:color w:val="000000" w:themeColor="text1"/>
          <w:sz w:val="28"/>
          <w:szCs w:val="28"/>
        </w:rPr>
        <w:t>2. Bỏ nhiều ngành, nghề đầu tư kinh doanh có điều kiện</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Những ngành, nghề trước đây thuộc Danh mục ngành, nghề đầu tư kinh doanh có điều kiện nay đã được bãi bỏ, gồm:</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Hoạt động dịch vụ của tổ chức trọng tài thương mại;</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lastRenderedPageBreak/>
        <w:t>- Sản xuất, sửa chữa chai chứa khí dầu mỏ hóa lỏng (chai LGP);</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Kinh doanh dịch vụ giám định thương mại;</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Nhượng quyền thương mại;</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Kinh doanh dịch vụ Logistic;</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Kinh doanh dịch vụ đại lý tàu biển;</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Kinh doanh dịch vụ đào tạo, bồi dưỡng kiến thức về môi giới bất động sản, điều hành sàn giao dịch bất động sản;</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Kinh doanh dịch vụ đào tạo, bồi dưỡng kiến thức chuyên môn, nghiệp vụ quản lý, vận hành nhà chung cư;</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Kinh doanh dịch vụ xét nghiệm HIV;</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Kinh doanh dịch vụ hỗ trợ sinh sản, lưu giữ tinh trùng, lưu giữ phôi;</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Kinh doanh dịch vụ xét nghiệm vi sinh vật gây bệnh truyền nhiễm;</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Kinh doanh dịch vụ tiêm chủng;</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Kinh doanh dịch vụ điều trị nghiện chất dạng thuốc phiện bằng thuốc thay thế;</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Kinh doanh dịch vụ phẫu thuật thẩm mỹ;</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Kinh doanh dịch vụ thực hiện kỹ thuật mang thai hộ...</w:t>
      </w:r>
    </w:p>
    <w:p w:rsidR="007B6233" w:rsidRPr="002125C1" w:rsidRDefault="007B6233" w:rsidP="002125C1">
      <w:pPr>
        <w:pStyle w:val="Heading2"/>
        <w:shd w:val="clear" w:color="auto" w:fill="FFFFFF"/>
        <w:spacing w:before="120" w:beforeAutospacing="0" w:after="120" w:afterAutospacing="0"/>
        <w:ind w:firstLine="567"/>
        <w:jc w:val="both"/>
        <w:rPr>
          <w:color w:val="000000" w:themeColor="text1"/>
          <w:sz w:val="28"/>
          <w:szCs w:val="28"/>
        </w:rPr>
      </w:pPr>
      <w:r w:rsidRPr="002125C1">
        <w:rPr>
          <w:rStyle w:val="Strong"/>
          <w:b/>
          <w:bCs/>
          <w:color w:val="000000" w:themeColor="text1"/>
          <w:sz w:val="28"/>
          <w:szCs w:val="28"/>
        </w:rPr>
        <w:t>3. Bổ sung ngành, nghề kinh doanh có điều kiện</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Các ngành, nghề kinh doanh có điều kiện được bổ sung gồm:</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Kinh doanh dịch vụ cai nghiện thuốc lá, điều trị HIV/AISD, chăm sóc người cao tuổi, người khuyết tật, trẻ em;</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Kinh doanh nước sạch (nước sinh hoạt);</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Kinh doanh dịch vụ kiến trúc;</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Kinh doanh dịch vụ phát hành báo chí nhập khẩu;</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Đăng kiểm tàu cá;</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Đào tạo, bồi dưỡng thuyền viên tàu cá...</w:t>
      </w:r>
    </w:p>
    <w:p w:rsidR="007B6233" w:rsidRPr="002125C1" w:rsidRDefault="007B6233" w:rsidP="002125C1">
      <w:pPr>
        <w:pStyle w:val="Heading2"/>
        <w:shd w:val="clear" w:color="auto" w:fill="FFFFFF"/>
        <w:spacing w:before="120" w:beforeAutospacing="0" w:after="120" w:afterAutospacing="0"/>
        <w:ind w:firstLine="567"/>
        <w:jc w:val="both"/>
        <w:rPr>
          <w:color w:val="000000" w:themeColor="text1"/>
          <w:sz w:val="28"/>
          <w:szCs w:val="28"/>
        </w:rPr>
      </w:pPr>
      <w:r w:rsidRPr="002125C1">
        <w:rPr>
          <w:rStyle w:val="Strong"/>
          <w:b/>
          <w:bCs/>
          <w:color w:val="000000" w:themeColor="text1"/>
          <w:sz w:val="28"/>
          <w:szCs w:val="28"/>
        </w:rPr>
        <w:t>4. Bổ sung quy định về ưu đãi và hỗ trợ đầu tư đặc biệt</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Chính phủ quyết định áp dụng mức ưu đãi, hỗ trợ đầu tư đặc biệt nhằm khuyến khích phát triển một số dự án đầu tư có tác động lớn đến kinh tế - xã hội, gồm:</w:t>
      </w:r>
      <w:r w:rsidRPr="002125C1">
        <w:rPr>
          <w:color w:val="000000" w:themeColor="text1"/>
          <w:sz w:val="28"/>
          <w:szCs w:val="28"/>
        </w:rPr>
        <w:br/>
        <w:t>- Dự án đầu tư thành lập mới hoặc mở rộng các trung tâm nghiên cứu và phát triển (R&amp;D), trung tâm đổi mới sáng tạo có tổng vốn đầu tư từ 6.000 tỷ đồng trở lên; trung tâm đổi mới sáng tạo quốc gia được thành lập theo quyết định của Thủ tướng Chính phủ;</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lastRenderedPageBreak/>
        <w:t>- Dự án đầu tư thuộc ngành, nghề đặc biệt ưu đãi đầu tư có quy mô vốn đầu tư từ 30.000 tỷ đồng trở lên, thực hiện giải ngân tối thiểu 10.000 tỷ đồng trong thời hạn 03 năm;</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Các dự án đầu tư khác có tác động lớn đến kinh tế - xã hội theo quyết định của Thủ tướng Chính phủ.</w:t>
      </w:r>
    </w:p>
    <w:p w:rsidR="007B6233" w:rsidRPr="002125C1" w:rsidRDefault="007B6233" w:rsidP="002125C1">
      <w:pPr>
        <w:pStyle w:val="Heading2"/>
        <w:shd w:val="clear" w:color="auto" w:fill="FFFFFF"/>
        <w:spacing w:before="120" w:beforeAutospacing="0" w:after="120" w:afterAutospacing="0"/>
        <w:ind w:firstLine="567"/>
        <w:jc w:val="both"/>
        <w:rPr>
          <w:color w:val="000000" w:themeColor="text1"/>
          <w:sz w:val="28"/>
          <w:szCs w:val="28"/>
        </w:rPr>
      </w:pPr>
      <w:r w:rsidRPr="002125C1">
        <w:rPr>
          <w:rStyle w:val="Strong"/>
          <w:b/>
          <w:bCs/>
          <w:color w:val="000000" w:themeColor="text1"/>
          <w:sz w:val="28"/>
          <w:szCs w:val="28"/>
        </w:rPr>
        <w:t>5. 5 trường hợp không phải bảo đảm thực hiện dự án đầu tư</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Nhà đầu tư phải ký quỹ hoặc phải có bảo lãnh ngân hàng về nghĩa vụ ký quỹ để bảo đảm thực hiện dự án đề nghị Nhà nước giao đất, cho thuê đất, cho phép chuyển mục đích sử dụng đất, trừ 05 trường hợp sau đây:</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Nhà đầu tư trúng đấu giá quyền sử dụng đất để thực hiện dự án đầu tư được Nhà nước giao đất có thu tiền sử dụng đất, cho thuê đất thu tiền thuê đất một lần cho cả thời gian thuê;</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Nhà đầu tư trúng đấu thầu thực hiện dự án đầu tư có sử dụng đất;</w:t>
      </w:r>
      <w:r w:rsidRPr="002125C1">
        <w:rPr>
          <w:color w:val="000000" w:themeColor="text1"/>
          <w:sz w:val="28"/>
          <w:szCs w:val="28"/>
        </w:rPr>
        <w:br/>
        <w:t>- Nhà đầu tư được Nhà nước giao đất, cho thuê đất trên cơ sở nhận chuyển nhượng dự án đầu tư đã thực hiện ký quỹ hoặc đã hoàn thành việc góp vốn, huy động vốn theo tiến độ quy định tại Giấy chứng nhận đăng ký đầu tư, văn bản chấp thuận chủ trương đầu tư;</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Nhà đầu tư được Nhà nước giao đất, cho thuê đất để thực hiện dự án đầu tư trên cơ sở nhận chuyển nhượng quyền sử dụng đất, tài sản gắn liền với đất của người sử dụng đất khác;</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Nhà đầu tư là đơn vị sự nghiệp có thu, công ty phát triển khu công nghệ cao được thành lập theo quyết định của cơ quan nhà nước có thẩm quyền để thực hiện dự án đầu tư phát triển kết cấu hạ tầng khu công nghiệp, khu chế xuất, khu công nghệ cao, khu chức năng trong khu kinh tế.</w:t>
      </w:r>
    </w:p>
    <w:p w:rsidR="007B6233" w:rsidRPr="002125C1" w:rsidRDefault="007B6233" w:rsidP="002125C1">
      <w:pPr>
        <w:pStyle w:val="Heading2"/>
        <w:shd w:val="clear" w:color="auto" w:fill="FFFFFF"/>
        <w:spacing w:before="120" w:beforeAutospacing="0" w:after="120" w:afterAutospacing="0"/>
        <w:ind w:firstLine="567"/>
        <w:jc w:val="both"/>
        <w:rPr>
          <w:color w:val="000000" w:themeColor="text1"/>
          <w:sz w:val="28"/>
          <w:szCs w:val="28"/>
        </w:rPr>
      </w:pPr>
      <w:r w:rsidRPr="002125C1">
        <w:rPr>
          <w:rStyle w:val="Strong"/>
          <w:b/>
          <w:bCs/>
          <w:color w:val="000000" w:themeColor="text1"/>
          <w:sz w:val="28"/>
          <w:szCs w:val="28"/>
        </w:rPr>
        <w:t>6. Sửa đổi, bổ sung đối tượng được hưởng ưu đãi đầu tư</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Theo Luật Đầu tư sửa đổi, đối tượng được hưởng ưu đãi đầu tư gồm:</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Dự án đầu tư thuộc ngành, nghề ưu đãi đầu tư quy định tại khoản 1 Điều 16 của Luật này;</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Dự án đầu tư tại địa bàn ưu đãi đầu tư quy định tại khoản 2 Điều 16 của Luật này;</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Dự án đầu tư có quy mô vốn từ 6.000 tỷ đồng trở lên, thực hiện giải ngân tối thiểu 6.000 tỷ đồng trong thời hạn 03 năm kể từ ngày được cấp Giấy chứng nhận đăng ký đầu tư hoặc chấp thuận chủ trương đầu tư, đồng thời có một trong các tiêu chí sau: có tổng doanh thu tối thiểu đạt 10.000 tỷ đồng trong một năm trong thời gian chậm nhất sau 03 năm kể từ năm có doanh thu hoặc sử dụng trên 3.000 lao động;</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Dự án xây dựng nhà ở xã hội; dự án đầu tư tại vùng nông thôn sử dụng từ 500 lao động trở lên; dự án sử dụng lao động là người khuyết tật theo quy định của pháp luật về người khuyết tật;</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lastRenderedPageBreak/>
        <w:t>- Doanh nghiệp công nghệ cao, doanh nghiệp khoa học và công nghệ, tổ chức khoa học và công nghệ; dự án có chuyển giao công nghệ thuộc Danh mục công nghệ khuyến khích chuyển giao theo quy định của pháp luật về chuyển giao công nghệ; cơ sở ươm tạo công nghệ, ươm tạo doanh nghiệp khoa học và công nghệ theo quy định của pháp luật về công nghệ cao;</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Dự án đầu tư khởi nghiệp sáng tạo, trung tâm đổi mới sáng tạo;</w:t>
      </w:r>
    </w:p>
    <w:p w:rsidR="007B6233" w:rsidRPr="002125C1" w:rsidRDefault="007B6233"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Đầu tư kinh doanh chuỗi phân phối sản phẩm của doanh nghiệp nhỏ và vừa; đầu tư kinh doanh cơ sở kỹ thuật hỗ trợ doanh nghiệp nhỏ và vừa, cơ sở ươm tạo doanh nghiệp nhỏ và vừa; đầu tư kinh doanh khu làm việc chung hỗ trợ doanh nghiệp nhỏ và vừa khởi nghiệp sáng tạo theo quy định của pháp luật về hỗ trợ doanh nghiệp nhỏ và vừa.</w:t>
      </w:r>
    </w:p>
    <w:p w:rsidR="009D39CF" w:rsidRPr="002125C1" w:rsidRDefault="009D39CF"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xml:space="preserve">Luật có hiệu lực thi hành kể từ ngày </w:t>
      </w:r>
      <w:r w:rsidR="007B6233" w:rsidRPr="002125C1">
        <w:rPr>
          <w:color w:val="000000" w:themeColor="text1"/>
          <w:sz w:val="28"/>
          <w:szCs w:val="28"/>
        </w:rPr>
        <w:t>0</w:t>
      </w:r>
      <w:r w:rsidRPr="002125C1">
        <w:rPr>
          <w:color w:val="000000" w:themeColor="text1"/>
          <w:sz w:val="28"/>
          <w:szCs w:val="28"/>
        </w:rPr>
        <w:t>1/</w:t>
      </w:r>
      <w:r w:rsidR="007B6233" w:rsidRPr="002125C1">
        <w:rPr>
          <w:color w:val="000000" w:themeColor="text1"/>
          <w:sz w:val="28"/>
          <w:szCs w:val="28"/>
        </w:rPr>
        <w:t>01/</w:t>
      </w:r>
      <w:r w:rsidRPr="002125C1">
        <w:rPr>
          <w:color w:val="000000" w:themeColor="text1"/>
          <w:sz w:val="28"/>
          <w:szCs w:val="28"/>
        </w:rPr>
        <w:t>2021./.</w:t>
      </w:r>
    </w:p>
    <w:p w:rsidR="009D39CF" w:rsidRPr="00A4461E" w:rsidRDefault="00A33F84" w:rsidP="002125C1">
      <w:pPr>
        <w:pStyle w:val="Heading1"/>
        <w:shd w:val="clear" w:color="auto" w:fill="FFFFFF"/>
        <w:spacing w:before="120" w:beforeAutospacing="0" w:after="120" w:afterAutospacing="0"/>
        <w:ind w:firstLine="567"/>
        <w:jc w:val="both"/>
        <w:rPr>
          <w:caps/>
          <w:color w:val="000000" w:themeColor="text1"/>
          <w:sz w:val="28"/>
          <w:szCs w:val="28"/>
        </w:rPr>
      </w:pPr>
      <w:r>
        <w:rPr>
          <w:color w:val="000000" w:themeColor="text1"/>
          <w:sz w:val="28"/>
          <w:szCs w:val="28"/>
        </w:rPr>
        <w:t>VII</w:t>
      </w:r>
      <w:r w:rsidR="008910D2" w:rsidRPr="002125C1">
        <w:rPr>
          <w:color w:val="000000" w:themeColor="text1"/>
          <w:sz w:val="28"/>
          <w:szCs w:val="28"/>
        </w:rPr>
        <w:t xml:space="preserve">. </w:t>
      </w:r>
      <w:r w:rsidR="00AA2441" w:rsidRPr="00A4461E">
        <w:rPr>
          <w:caps/>
          <w:color w:val="000000" w:themeColor="text1"/>
          <w:sz w:val="28"/>
          <w:szCs w:val="28"/>
        </w:rPr>
        <w:t>Các trường hợp được miễn giấy phép xây dựng theo</w:t>
      </w:r>
      <w:r w:rsidR="009D39CF" w:rsidRPr="00A4461E">
        <w:rPr>
          <w:caps/>
          <w:color w:val="000000" w:themeColor="text1"/>
          <w:sz w:val="28"/>
          <w:szCs w:val="28"/>
        </w:rPr>
        <w:t xml:space="preserve"> Luật sửa đổi, bổ sung một số điều của Luật Xây dựng</w:t>
      </w:r>
    </w:p>
    <w:p w:rsidR="00AA2441" w:rsidRPr="002125C1" w:rsidRDefault="00AA2441"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Theo đó, Luật quy định cụ thể các trường hợp được miễn giấy phép xây dựng gồm:</w:t>
      </w:r>
    </w:p>
    <w:p w:rsidR="00AA2441" w:rsidRPr="002125C1" w:rsidRDefault="00AA2441"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rStyle w:val="Strong"/>
          <w:i/>
          <w:iCs/>
          <w:color w:val="000000" w:themeColor="text1"/>
          <w:sz w:val="28"/>
          <w:szCs w:val="28"/>
          <w:bdr w:val="none" w:sz="0" w:space="0" w:color="auto" w:frame="1"/>
        </w:rPr>
        <w:t>Thứ nhất</w:t>
      </w:r>
      <w:r w:rsidRPr="002125C1">
        <w:rPr>
          <w:rStyle w:val="Emphasis"/>
          <w:color w:val="000000" w:themeColor="text1"/>
          <w:sz w:val="28"/>
          <w:szCs w:val="28"/>
          <w:bdr w:val="none" w:sz="0" w:space="0" w:color="auto" w:frame="1"/>
        </w:rPr>
        <w:t>,</w:t>
      </w:r>
      <w:r w:rsidRPr="002125C1">
        <w:rPr>
          <w:color w:val="000000" w:themeColor="text1"/>
          <w:sz w:val="28"/>
          <w:szCs w:val="28"/>
        </w:rPr>
        <w:t> Công trình </w:t>
      </w:r>
      <w:hyperlink r:id="rId12" w:tgtFrame="_blank" w:history="1">
        <w:r w:rsidRPr="002125C1">
          <w:rPr>
            <w:rStyle w:val="Hyperlink"/>
            <w:bCs/>
            <w:color w:val="000000" w:themeColor="text1"/>
            <w:sz w:val="28"/>
            <w:szCs w:val="28"/>
            <w:u w:val="none"/>
            <w:bdr w:val="none" w:sz="0" w:space="0" w:color="auto" w:frame="1"/>
          </w:rPr>
          <w:t>bí mật nhà nướ</w:t>
        </w:r>
        <w:r w:rsidRPr="002125C1">
          <w:rPr>
            <w:rStyle w:val="Hyperlink"/>
            <w:b/>
            <w:bCs/>
            <w:color w:val="000000" w:themeColor="text1"/>
            <w:sz w:val="28"/>
            <w:szCs w:val="28"/>
            <w:u w:val="none"/>
            <w:bdr w:val="none" w:sz="0" w:space="0" w:color="auto" w:frame="1"/>
          </w:rPr>
          <w:t>c</w:t>
        </w:r>
      </w:hyperlink>
      <w:r w:rsidRPr="002125C1">
        <w:rPr>
          <w:color w:val="000000" w:themeColor="text1"/>
          <w:sz w:val="28"/>
          <w:szCs w:val="28"/>
        </w:rPr>
        <w:t>; công trình xây dựng khẩn cấp.</w:t>
      </w:r>
    </w:p>
    <w:p w:rsidR="00AA2441" w:rsidRPr="002125C1" w:rsidRDefault="00AA2441"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rStyle w:val="Strong"/>
          <w:i/>
          <w:iCs/>
          <w:color w:val="000000" w:themeColor="text1"/>
          <w:sz w:val="28"/>
          <w:szCs w:val="28"/>
          <w:bdr w:val="none" w:sz="0" w:space="0" w:color="auto" w:frame="1"/>
        </w:rPr>
        <w:t>Thứ hai</w:t>
      </w:r>
      <w:r w:rsidRPr="002125C1">
        <w:rPr>
          <w:rStyle w:val="Emphasis"/>
          <w:color w:val="000000" w:themeColor="text1"/>
          <w:sz w:val="28"/>
          <w:szCs w:val="28"/>
          <w:bdr w:val="none" w:sz="0" w:space="0" w:color="auto" w:frame="1"/>
        </w:rPr>
        <w:t>,</w:t>
      </w:r>
      <w:r w:rsidRPr="002125C1">
        <w:rPr>
          <w:color w:val="000000" w:themeColor="text1"/>
          <w:sz w:val="28"/>
          <w:szCs w:val="28"/>
        </w:rPr>
        <w:t> Công trình thuộc dự án đầu tư xây dựng sử dụng vốn đầu tư công được Thủ tướng Chính phủ, người đứng đầu cơ quan trung ương của tổ chức chính trị, Viện kiểm sát nhân dân tối cao, Tòa án nhân dân tối cao, Kiểm toán nhà nước, Văn phòng Chủ tịch Nước, Văn phòng Quốc hội, bộ, cơ quan ngang bộ, cơ quan thuộc Chính phủ, cơ quan trung ương của Mặt trận Tổ quốc Việt Nam và của tổ chức chính trị – xã hội, Chủ tịch Ủy ban nhân dân các cấp quyết định đầu tư.</w:t>
      </w:r>
    </w:p>
    <w:p w:rsidR="00AA2441" w:rsidRPr="002125C1" w:rsidRDefault="00AA2441"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So với Luật 2014 thì Luật Xây dựng 2020 đã bổ sung các chủ thể ở trung ương quyết định đầu tư được </w:t>
      </w:r>
      <w:hyperlink r:id="rId13" w:tgtFrame="_blank" w:history="1">
        <w:r w:rsidRPr="002125C1">
          <w:rPr>
            <w:rStyle w:val="Hyperlink"/>
            <w:bCs/>
            <w:color w:val="000000" w:themeColor="text1"/>
            <w:sz w:val="28"/>
            <w:szCs w:val="28"/>
            <w:u w:val="none"/>
            <w:bdr w:val="none" w:sz="0" w:space="0" w:color="auto" w:frame="1"/>
          </w:rPr>
          <w:t>miễn phép xây dựng</w:t>
        </w:r>
      </w:hyperlink>
      <w:r w:rsidRPr="002125C1">
        <w:rPr>
          <w:color w:val="000000" w:themeColor="text1"/>
          <w:sz w:val="28"/>
          <w:szCs w:val="28"/>
        </w:rPr>
        <w:t> như: người đứng đầu cơ quan trung ương của tổ chức chính trị, Viện kiểm sát nhân dân tối cao, Tòa án nhân dân tối cao, Kiểm toán nhà nước, Văn phòng Chủ tịch Nước, Văn phòng Quốc hội, cơ quan trung ương của Mặt trận Tổ quốc Việt Nam và của tổ chức chính trị – xã hội</w:t>
      </w:r>
    </w:p>
    <w:p w:rsidR="00AA2441" w:rsidRPr="002125C1" w:rsidRDefault="00AA2441"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rStyle w:val="Strong"/>
          <w:i/>
          <w:iCs/>
          <w:color w:val="000000" w:themeColor="text1"/>
          <w:sz w:val="28"/>
          <w:szCs w:val="28"/>
          <w:bdr w:val="none" w:sz="0" w:space="0" w:color="auto" w:frame="1"/>
        </w:rPr>
        <w:t>Thứ ba</w:t>
      </w:r>
      <w:r w:rsidRPr="002125C1">
        <w:rPr>
          <w:rStyle w:val="Emphasis"/>
          <w:color w:val="000000" w:themeColor="text1"/>
          <w:sz w:val="28"/>
          <w:szCs w:val="28"/>
          <w:bdr w:val="none" w:sz="0" w:space="0" w:color="auto" w:frame="1"/>
        </w:rPr>
        <w:t>,</w:t>
      </w:r>
      <w:r w:rsidRPr="002125C1">
        <w:rPr>
          <w:color w:val="000000" w:themeColor="text1"/>
          <w:sz w:val="28"/>
          <w:szCs w:val="28"/>
        </w:rPr>
        <w:t> Công trình xây dựng tạm theo quy định tại Điều 131 của Luật này.</w:t>
      </w:r>
    </w:p>
    <w:p w:rsidR="00AA2441" w:rsidRPr="002125C1" w:rsidRDefault="00AA2441"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Luật xây dựng sửa đổi đã thay đổi cụm từ “theo quy định tại Điều 131 của Luật này” thay cho cụm từ “phục vụ thi công xây dựng công trình chính”.</w:t>
      </w:r>
    </w:p>
    <w:p w:rsidR="00AA2441" w:rsidRPr="002125C1" w:rsidRDefault="00AA2441"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rStyle w:val="Strong"/>
          <w:i/>
          <w:iCs/>
          <w:color w:val="000000" w:themeColor="text1"/>
          <w:sz w:val="28"/>
          <w:szCs w:val="28"/>
          <w:bdr w:val="none" w:sz="0" w:space="0" w:color="auto" w:frame="1"/>
        </w:rPr>
        <w:t>Thứ tư</w:t>
      </w:r>
      <w:r w:rsidRPr="002125C1">
        <w:rPr>
          <w:rStyle w:val="Emphasis"/>
          <w:color w:val="000000" w:themeColor="text1"/>
          <w:sz w:val="28"/>
          <w:szCs w:val="28"/>
          <w:bdr w:val="none" w:sz="0" w:space="0" w:color="auto" w:frame="1"/>
        </w:rPr>
        <w:t>,</w:t>
      </w:r>
      <w:r w:rsidRPr="002125C1">
        <w:rPr>
          <w:color w:val="000000" w:themeColor="text1"/>
          <w:sz w:val="28"/>
          <w:szCs w:val="28"/>
        </w:rPr>
        <w:t xml:space="preserve"> Công trình sửa chữa, cải tạo bên trong công trình hoặc công trình sửa chữa, cải tạo mặt ngoài không tiếp giáp với đường trong đô thị có yêu cầu về quản lý kiến trúc theo quy định của cơ quan nhà nước có thẩm quyền; nội dung sửa chữa, cải tạo không làm thay đổi công năng sử dụng, không làm ảnh hưởng đến an toàn kết cấu chịu lực của công trình, phù hợp với quy hoạch xây dựng đã </w:t>
      </w:r>
      <w:r w:rsidRPr="002125C1">
        <w:rPr>
          <w:color w:val="000000" w:themeColor="text1"/>
          <w:sz w:val="28"/>
          <w:szCs w:val="28"/>
        </w:rPr>
        <w:lastRenderedPageBreak/>
        <w:t>được cơ quan nhà nước có thẩm quyền phê duyệt, yêu cầu về bảo vệ môi trường và an toàn phòng, chống cháy, nổ.</w:t>
      </w:r>
    </w:p>
    <w:p w:rsidR="00AA2441" w:rsidRPr="002125C1" w:rsidRDefault="00AA2441"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Luật xây dựng 2020 đã gọp quy định tại điểm g và điểm h của khoản 1 Điều 89 Luật xây dựng 2014 thành một điểm và bổ sung quy định việc cải tạo, sửa chữa công trình phải phù hợp với quy hoạch xây dựng đã được cơ quan nhà nước có thẩm quyền phê duyệt, yêu cầu về </w:t>
      </w:r>
      <w:hyperlink r:id="rId14" w:tgtFrame="_blank" w:history="1">
        <w:r w:rsidRPr="002125C1">
          <w:rPr>
            <w:rStyle w:val="Hyperlink"/>
            <w:b/>
            <w:bCs/>
            <w:color w:val="000000" w:themeColor="text1"/>
            <w:sz w:val="28"/>
            <w:szCs w:val="28"/>
            <w:u w:val="none"/>
            <w:bdr w:val="none" w:sz="0" w:space="0" w:color="auto" w:frame="1"/>
          </w:rPr>
          <w:t>bảo vệ môi trường</w:t>
        </w:r>
      </w:hyperlink>
      <w:r w:rsidRPr="002125C1">
        <w:rPr>
          <w:color w:val="000000" w:themeColor="text1"/>
          <w:sz w:val="28"/>
          <w:szCs w:val="28"/>
        </w:rPr>
        <w:t> và an toàn phòng, chống cháy, nổ.</w:t>
      </w:r>
    </w:p>
    <w:p w:rsidR="00AA2441" w:rsidRPr="002125C1" w:rsidRDefault="00AA2441"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rStyle w:val="Strong"/>
          <w:i/>
          <w:iCs/>
          <w:color w:val="000000" w:themeColor="text1"/>
          <w:sz w:val="28"/>
          <w:szCs w:val="28"/>
          <w:bdr w:val="none" w:sz="0" w:space="0" w:color="auto" w:frame="1"/>
        </w:rPr>
        <w:t>Thứ năm</w:t>
      </w:r>
      <w:r w:rsidRPr="002125C1">
        <w:rPr>
          <w:rStyle w:val="Emphasis"/>
          <w:color w:val="000000" w:themeColor="text1"/>
          <w:sz w:val="28"/>
          <w:szCs w:val="28"/>
          <w:bdr w:val="none" w:sz="0" w:space="0" w:color="auto" w:frame="1"/>
        </w:rPr>
        <w:t>,</w:t>
      </w:r>
      <w:r w:rsidRPr="002125C1">
        <w:rPr>
          <w:color w:val="000000" w:themeColor="text1"/>
          <w:sz w:val="28"/>
          <w:szCs w:val="28"/>
        </w:rPr>
        <w:t> Công trình quảng cáo không thuộc đối tượng phải cấp giấy phép xây dựng theo quy định của pháp luật về quảng cáo; công trình hạ tầng kỹ thuật viễn thông thụ động theo quy định của Chính phủ.</w:t>
      </w:r>
    </w:p>
    <w:p w:rsidR="00AA2441" w:rsidRPr="002125C1" w:rsidRDefault="00AA2441"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Đây là quy định hoàn toàn mới của Luật Xây dựng sửa đổi 2020.</w:t>
      </w:r>
    </w:p>
    <w:p w:rsidR="00AA2441" w:rsidRPr="002125C1" w:rsidRDefault="00AA2441" w:rsidP="002125C1">
      <w:pPr>
        <w:pStyle w:val="Heading2"/>
        <w:shd w:val="clear" w:color="auto" w:fill="FFFFFF"/>
        <w:spacing w:before="120" w:beforeAutospacing="0" w:after="120" w:afterAutospacing="0"/>
        <w:ind w:firstLine="567"/>
        <w:jc w:val="both"/>
        <w:rPr>
          <w:b w:val="0"/>
          <w:color w:val="000000" w:themeColor="text1"/>
          <w:sz w:val="28"/>
          <w:szCs w:val="28"/>
          <w:shd w:val="clear" w:color="auto" w:fill="FFFFFF"/>
        </w:rPr>
      </w:pPr>
      <w:r w:rsidRPr="002125C1">
        <w:rPr>
          <w:rStyle w:val="Emphasis"/>
          <w:bCs w:val="0"/>
          <w:color w:val="000000" w:themeColor="text1"/>
          <w:sz w:val="28"/>
          <w:szCs w:val="28"/>
          <w:bdr w:val="none" w:sz="0" w:space="0" w:color="auto" w:frame="1"/>
          <w:shd w:val="clear" w:color="auto" w:fill="FFFFFF"/>
        </w:rPr>
        <w:t>Thứ sáu,</w:t>
      </w:r>
      <w:r w:rsidRPr="002125C1">
        <w:rPr>
          <w:color w:val="000000" w:themeColor="text1"/>
          <w:sz w:val="28"/>
          <w:szCs w:val="28"/>
          <w:shd w:val="clear" w:color="auto" w:fill="FFFFFF"/>
        </w:rPr>
        <w:t> </w:t>
      </w:r>
      <w:r w:rsidRPr="002125C1">
        <w:rPr>
          <w:b w:val="0"/>
          <w:color w:val="000000" w:themeColor="text1"/>
          <w:sz w:val="28"/>
          <w:szCs w:val="28"/>
          <w:shd w:val="clear" w:color="auto" w:fill="FFFFFF"/>
        </w:rPr>
        <w:t>Công trình xây dựng trên địa bàn hai tỉnh trở lên, công trình xây dựng theo tuyến ngoài đô thị phù hợp với quy hoạch xây dựng hoặc quy hoạch có tính chất kỹ thuật, chuyên ngành đã được cơ quan nhà nước có thẩm quyền phê duyệt.</w:t>
      </w:r>
    </w:p>
    <w:p w:rsidR="00AA2441" w:rsidRPr="002125C1" w:rsidRDefault="00AA2441"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Luật Xây dựng 2020 kế thừa quy định của Luật 2014 nhưng bổ sung quy định trường hợp không phù hợp với quy hoạch xây dựng dựng thì có thể phủ hợp quy hoạch có tính chất kỹ thuật, chuyên ngành đã được cơ quan nhà nước có thẩm quyền phê duyệt.</w:t>
      </w:r>
    </w:p>
    <w:p w:rsidR="00AA2441" w:rsidRPr="002125C1" w:rsidRDefault="00AA2441"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rStyle w:val="Emphasis"/>
          <w:b/>
          <w:bCs/>
          <w:color w:val="000000" w:themeColor="text1"/>
          <w:sz w:val="28"/>
          <w:szCs w:val="28"/>
          <w:bdr w:val="none" w:sz="0" w:space="0" w:color="auto" w:frame="1"/>
        </w:rPr>
        <w:t>Thứ bảy,</w:t>
      </w:r>
      <w:r w:rsidRPr="002125C1">
        <w:rPr>
          <w:color w:val="000000" w:themeColor="text1"/>
          <w:sz w:val="28"/>
          <w:szCs w:val="28"/>
        </w:rPr>
        <w:t> Công trình xây dựng đã được cơ quan chuyên môn về xây dựng thông báo kết quả thẩm định thiết kế xây dựng triển khai sau thiết kế cơ sở đủ điều kiện phê duyệt thiết kế xây dựng và đáp ứng các điều kiện về cấp giấy phép xây dựng theo quy định của Luật này.</w:t>
      </w:r>
    </w:p>
    <w:p w:rsidR="00AA2441" w:rsidRPr="002125C1" w:rsidRDefault="00AA2441"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rStyle w:val="Strong"/>
          <w:i/>
          <w:iCs/>
          <w:color w:val="000000" w:themeColor="text1"/>
          <w:sz w:val="28"/>
          <w:szCs w:val="28"/>
          <w:bdr w:val="none" w:sz="0" w:space="0" w:color="auto" w:frame="1"/>
        </w:rPr>
        <w:t>Thứ tám</w:t>
      </w:r>
      <w:r w:rsidRPr="002125C1">
        <w:rPr>
          <w:rStyle w:val="Emphasis"/>
          <w:color w:val="000000" w:themeColor="text1"/>
          <w:sz w:val="28"/>
          <w:szCs w:val="28"/>
          <w:bdr w:val="none" w:sz="0" w:space="0" w:color="auto" w:frame="1"/>
        </w:rPr>
        <w:t>,</w:t>
      </w:r>
      <w:r w:rsidRPr="002125C1">
        <w:rPr>
          <w:color w:val="000000" w:themeColor="text1"/>
          <w:sz w:val="28"/>
          <w:szCs w:val="28"/>
        </w:rPr>
        <w:t> </w:t>
      </w:r>
      <w:hyperlink r:id="rId15" w:tgtFrame="_blank" w:history="1">
        <w:r w:rsidRPr="002125C1">
          <w:rPr>
            <w:rStyle w:val="Hyperlink"/>
            <w:color w:val="000000" w:themeColor="text1"/>
            <w:sz w:val="28"/>
            <w:szCs w:val="28"/>
            <w:u w:val="none"/>
            <w:bdr w:val="none" w:sz="0" w:space="0" w:color="auto" w:frame="1"/>
          </w:rPr>
          <w:t>Nhà ở riêng lẻ</w:t>
        </w:r>
      </w:hyperlink>
      <w:r w:rsidRPr="002125C1">
        <w:rPr>
          <w:color w:val="000000" w:themeColor="text1"/>
          <w:sz w:val="28"/>
          <w:szCs w:val="28"/>
        </w:rPr>
        <w:t> có quy mô dưới 07 tầng thuộc dự án đầu tư xây dựng khu đô thị, dự án đầu tư xây dựng nhà ở có quy hoạch chi tiết 1/500 đã được cơ quan nhà nước có thẩm quyền phê duyệt.</w:t>
      </w:r>
    </w:p>
    <w:p w:rsidR="00AA2441" w:rsidRPr="002125C1" w:rsidRDefault="00AA2441"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Luật Xây dựng 2020 cơ bản kế thừa Luật 2014, tuy nhiên đa bỏ quy định tổng diện tích sàn dưới 500 m</w:t>
      </w:r>
      <w:r w:rsidRPr="002125C1">
        <w:rPr>
          <w:color w:val="000000" w:themeColor="text1"/>
          <w:sz w:val="28"/>
          <w:szCs w:val="28"/>
          <w:bdr w:val="none" w:sz="0" w:space="0" w:color="auto" w:frame="1"/>
          <w:vertAlign w:val="superscript"/>
        </w:rPr>
        <w:t>2</w:t>
      </w:r>
    </w:p>
    <w:p w:rsidR="00AA2441" w:rsidRPr="002125C1" w:rsidRDefault="00AA2441"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rStyle w:val="Strong"/>
          <w:i/>
          <w:iCs/>
          <w:color w:val="000000" w:themeColor="text1"/>
          <w:sz w:val="28"/>
          <w:szCs w:val="28"/>
          <w:bdr w:val="none" w:sz="0" w:space="0" w:color="auto" w:frame="1"/>
        </w:rPr>
        <w:t>Thứ chín</w:t>
      </w:r>
      <w:r w:rsidRPr="002125C1">
        <w:rPr>
          <w:rStyle w:val="Emphasis"/>
          <w:color w:val="000000" w:themeColor="text1"/>
          <w:sz w:val="28"/>
          <w:szCs w:val="28"/>
          <w:bdr w:val="none" w:sz="0" w:space="0" w:color="auto" w:frame="1"/>
        </w:rPr>
        <w:t>,</w:t>
      </w:r>
      <w:r w:rsidRPr="002125C1">
        <w:rPr>
          <w:color w:val="000000" w:themeColor="text1"/>
          <w:sz w:val="28"/>
          <w:szCs w:val="28"/>
        </w:rPr>
        <w:t> Công trình xây dựng cấp IV, nhà ở riêng lẻ ở nông thôn có quy mô dưới 7 tầng và thuộc khu vực không có quy hoạch đô thị, quy hoạch xây dựng khu chức năng hoặc quy hoạch chi tiết xây dựng điểm dân cư nông thôn đã được cơ quan nhà nước có thẩm quyền phê duyệt; nhà ở riêng lẻ ở miền núi, hải đảo thuộc khu vực không có quy hoạch đô thị, quy hoạch xây dựng khu chức năng; trừ công trình, nhà ở riêng lẻ được xây dựng trong khu bảo tồn, khu di tích lịch sử – văn hóa.</w:t>
      </w:r>
    </w:p>
    <w:p w:rsidR="00AA2441" w:rsidRPr="002125C1" w:rsidRDefault="00AA2441"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Luật Xây dựng 2020 đã quy định rõ hơn đối với </w:t>
      </w:r>
      <w:hyperlink r:id="rId16" w:tgtFrame="_blank" w:history="1">
        <w:r w:rsidRPr="002125C1">
          <w:rPr>
            <w:rStyle w:val="Hyperlink"/>
            <w:bCs/>
            <w:color w:val="000000" w:themeColor="text1"/>
            <w:sz w:val="28"/>
            <w:szCs w:val="28"/>
            <w:u w:val="none"/>
            <w:bdr w:val="none" w:sz="0" w:space="0" w:color="auto" w:frame="1"/>
          </w:rPr>
          <w:t>công trình xây dựng ở nông thôn</w:t>
        </w:r>
      </w:hyperlink>
      <w:r w:rsidRPr="002125C1">
        <w:rPr>
          <w:color w:val="000000" w:themeColor="text1"/>
          <w:sz w:val="28"/>
          <w:szCs w:val="28"/>
        </w:rPr>
        <w:t> chỉ có công trình xây dựng cấp IV mới được miễn phép. Trước đây, Luật 2014 quy định: Công trình xây dựng ở nông thôn thuộc khu vực chưa có quy hoạch phát triển đô thị và quy hoạch chi tiết xây dựng được duyệt được miễn phép.</w:t>
      </w:r>
    </w:p>
    <w:p w:rsidR="00AA2441" w:rsidRPr="002125C1" w:rsidRDefault="00AA2441"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lastRenderedPageBreak/>
        <w:t>Luật bổ sung công trình nhà ở riêng lẻ ở nông thôn có quy mô trên 7 tầng phải xin phép; đối với miền núi, hải đảo thì nhà ở riêng lẻ miễn phép.</w:t>
      </w:r>
    </w:p>
    <w:p w:rsidR="00AA2441" w:rsidRPr="002125C1" w:rsidRDefault="00AA2441"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rStyle w:val="Emphasis"/>
          <w:b/>
          <w:bCs/>
          <w:color w:val="000000" w:themeColor="text1"/>
          <w:sz w:val="28"/>
          <w:szCs w:val="28"/>
          <w:bdr w:val="none" w:sz="0" w:space="0" w:color="auto" w:frame="1"/>
        </w:rPr>
        <w:t>Thứ mười,</w:t>
      </w:r>
      <w:r w:rsidRPr="002125C1">
        <w:rPr>
          <w:color w:val="000000" w:themeColor="text1"/>
          <w:sz w:val="28"/>
          <w:szCs w:val="28"/>
        </w:rPr>
        <w:t> Chủ đầu tư xây dựng công trình quy định tại các điểm b, e, g, h và i khoản này, trừ nhà ở riêng lẻ quy định tại điểm i khoản này có trách nhiệm gửi thông báo thời điểm khởi công xây dựng, kèm theo hồ sơ thiết kế xây dựng theo quy định đến cơ quan quản lý nhà nước về xây dựng tại địa phương để quản lý.</w:t>
      </w:r>
    </w:p>
    <w:p w:rsidR="00AA2441" w:rsidRPr="002125C1" w:rsidRDefault="00AA2441"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Như vậy, từ ngày 01/01/2021, Luật Xây dựng sửa đổi 2020 có hiệu lực thi hành thì các quy định về miễn giấy phép xây dựng đã được quy định cụ thể, rõ ràng hơn, thuận lợi cho công tác quản lý cũng như người dân trong việc xây dựng công trình.</w:t>
      </w:r>
    </w:p>
    <w:p w:rsidR="009D39CF" w:rsidRPr="00A4461E" w:rsidRDefault="00A33F84" w:rsidP="002125C1">
      <w:pPr>
        <w:pStyle w:val="Heading1"/>
        <w:shd w:val="clear" w:color="auto" w:fill="FFFFFF"/>
        <w:spacing w:before="120" w:beforeAutospacing="0" w:after="120" w:afterAutospacing="0"/>
        <w:ind w:firstLine="567"/>
        <w:jc w:val="both"/>
        <w:rPr>
          <w:caps/>
          <w:color w:val="000000" w:themeColor="text1"/>
          <w:sz w:val="28"/>
          <w:szCs w:val="28"/>
        </w:rPr>
      </w:pPr>
      <w:r>
        <w:rPr>
          <w:color w:val="000000" w:themeColor="text1"/>
          <w:sz w:val="28"/>
          <w:szCs w:val="28"/>
        </w:rPr>
        <w:t>VIII</w:t>
      </w:r>
      <w:r w:rsidR="008910D2" w:rsidRPr="002125C1">
        <w:rPr>
          <w:color w:val="000000" w:themeColor="text1"/>
          <w:sz w:val="28"/>
          <w:szCs w:val="28"/>
        </w:rPr>
        <w:t xml:space="preserve">. </w:t>
      </w:r>
      <w:r w:rsidR="008910D2" w:rsidRPr="00A4461E">
        <w:rPr>
          <w:caps/>
          <w:color w:val="000000" w:themeColor="text1"/>
          <w:sz w:val="28"/>
          <w:szCs w:val="28"/>
        </w:rPr>
        <w:t xml:space="preserve">Một số nội dung </w:t>
      </w:r>
      <w:r w:rsidR="009D39CF" w:rsidRPr="00A4461E">
        <w:rPr>
          <w:caps/>
          <w:color w:val="000000" w:themeColor="text1"/>
          <w:sz w:val="28"/>
          <w:szCs w:val="28"/>
        </w:rPr>
        <w:t>Luật sửa đổi, bổ sung một số điều của Luật Ban hành văn bản quy phạm pháp luật</w:t>
      </w:r>
    </w:p>
    <w:p w:rsidR="0056475E" w:rsidRPr="002125C1" w:rsidRDefault="0056475E" w:rsidP="002125C1">
      <w:pPr>
        <w:pStyle w:val="Heading2"/>
        <w:shd w:val="clear" w:color="auto" w:fill="FFFFFF"/>
        <w:spacing w:before="120" w:beforeAutospacing="0" w:after="120" w:afterAutospacing="0"/>
        <w:ind w:firstLine="567"/>
        <w:jc w:val="both"/>
        <w:rPr>
          <w:color w:val="000000" w:themeColor="text1"/>
          <w:sz w:val="28"/>
          <w:szCs w:val="28"/>
        </w:rPr>
      </w:pPr>
      <w:r w:rsidRPr="002125C1">
        <w:rPr>
          <w:rStyle w:val="Strong"/>
          <w:b/>
          <w:bCs/>
          <w:color w:val="000000" w:themeColor="text1"/>
          <w:sz w:val="28"/>
          <w:szCs w:val="28"/>
        </w:rPr>
        <w:t>1. Thêm nhiều văn bản được coi là văn bản quy phạm pháp luật</w:t>
      </w:r>
    </w:p>
    <w:p w:rsidR="0056475E" w:rsidRPr="002125C1" w:rsidRDefault="0056475E"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Ngoài các văn bản quy phạm pháp luật như hiện nay, khoản 1 Điều 1 Luật Ban hành văn bản quy phạm pháp luật sửa đổi còn bổ sung thêm một số văn bản khác. Cụ thể là Thông tư liên tịch giữa các chủ thể:</w:t>
      </w:r>
    </w:p>
    <w:p w:rsidR="0056475E" w:rsidRPr="002125C1" w:rsidRDefault="0056475E"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Chánh án Tòa án nhân dân tối cao;</w:t>
      </w:r>
    </w:p>
    <w:p w:rsidR="0056475E" w:rsidRPr="002125C1" w:rsidRDefault="0056475E"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Viện trưởng Viện kiểm sát nhân dân tối cao;</w:t>
      </w:r>
    </w:p>
    <w:p w:rsidR="0056475E" w:rsidRPr="002125C1" w:rsidRDefault="0056475E"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Tổng Kiểm toán nhà nước;</w:t>
      </w:r>
    </w:p>
    <w:p w:rsidR="0056475E" w:rsidRPr="002125C1" w:rsidRDefault="0056475E"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Bộ trưởng, Thủ trưởng cơ quan ngang bộ.</w:t>
      </w:r>
    </w:p>
    <w:p w:rsidR="00C035E9" w:rsidRPr="002125C1" w:rsidRDefault="0056475E"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Các chủ thể này ban hành Thông tư liên tịch để quy định về việc phối hợp của các cơ quan trong việc thực hiện trình tự, thủ tục về tố tụng và phòng, chống tham nhũng </w:t>
      </w:r>
      <w:r w:rsidRPr="002125C1">
        <w:rPr>
          <w:rStyle w:val="Emphasis"/>
          <w:color w:val="000000" w:themeColor="text1"/>
          <w:sz w:val="28"/>
          <w:szCs w:val="28"/>
        </w:rPr>
        <w:t>(thay vì chỉ về trình tự, thủ tục tố tụng như hiện nay)</w:t>
      </w:r>
      <w:r w:rsidRPr="002125C1">
        <w:rPr>
          <w:color w:val="000000" w:themeColor="text1"/>
          <w:sz w:val="28"/>
          <w:szCs w:val="28"/>
        </w:rPr>
        <w:t>.</w:t>
      </w:r>
    </w:p>
    <w:p w:rsidR="0056475E" w:rsidRPr="00976BD5" w:rsidRDefault="0056475E"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w:t>
      </w:r>
      <w:r w:rsidRPr="002125C1">
        <w:rPr>
          <w:rStyle w:val="Strong"/>
          <w:bCs w:val="0"/>
          <w:color w:val="000000" w:themeColor="text1"/>
          <w:sz w:val="28"/>
          <w:szCs w:val="28"/>
        </w:rPr>
        <w:t xml:space="preserve">2. Văn bản có thể bị bãi </w:t>
      </w:r>
      <w:r w:rsidRPr="00976BD5">
        <w:rPr>
          <w:rStyle w:val="Strong"/>
          <w:bCs w:val="0"/>
          <w:color w:val="000000" w:themeColor="text1"/>
          <w:sz w:val="28"/>
          <w:szCs w:val="28"/>
        </w:rPr>
        <w:t>bỏ bởi văn bản của cơ quan khác</w:t>
      </w:r>
    </w:p>
    <w:p w:rsidR="0056475E" w:rsidRPr="00976BD5" w:rsidRDefault="0056475E" w:rsidP="002125C1">
      <w:pPr>
        <w:pStyle w:val="NormalWeb"/>
        <w:shd w:val="clear" w:color="auto" w:fill="FFFFFF"/>
        <w:spacing w:before="120" w:beforeAutospacing="0" w:after="120" w:afterAutospacing="0"/>
        <w:ind w:firstLine="567"/>
        <w:jc w:val="both"/>
        <w:rPr>
          <w:color w:val="000000" w:themeColor="text1"/>
          <w:sz w:val="28"/>
          <w:szCs w:val="28"/>
        </w:rPr>
      </w:pPr>
      <w:r w:rsidRPr="00976BD5">
        <w:rPr>
          <w:color w:val="000000" w:themeColor="text1"/>
          <w:sz w:val="28"/>
          <w:szCs w:val="28"/>
        </w:rPr>
        <w:t>Nếu như khoản 1 Điều 12 </w:t>
      </w:r>
      <w:hyperlink r:id="rId17" w:history="1">
        <w:r w:rsidRPr="00976BD5">
          <w:rPr>
            <w:rStyle w:val="Hyperlink"/>
            <w:color w:val="000000" w:themeColor="text1"/>
            <w:sz w:val="28"/>
            <w:szCs w:val="28"/>
            <w:u w:val="none"/>
          </w:rPr>
          <w:t>Luật Ban hành văn bản quy phạm pháp luật 2015</w:t>
        </w:r>
      </w:hyperlink>
      <w:r w:rsidRPr="00976BD5">
        <w:rPr>
          <w:color w:val="000000" w:themeColor="text1"/>
          <w:sz w:val="28"/>
          <w:szCs w:val="28"/>
        </w:rPr>
        <w:t> quy định:</w:t>
      </w:r>
    </w:p>
    <w:p w:rsidR="0056475E" w:rsidRPr="002125C1" w:rsidRDefault="0056475E" w:rsidP="002125C1">
      <w:pPr>
        <w:pStyle w:val="NormalWeb"/>
        <w:shd w:val="clear" w:color="auto" w:fill="FFFFFF"/>
        <w:spacing w:before="120" w:beforeAutospacing="0" w:after="120" w:afterAutospacing="0"/>
        <w:ind w:firstLine="567"/>
        <w:jc w:val="both"/>
        <w:rPr>
          <w:i/>
          <w:iCs/>
          <w:color w:val="000000" w:themeColor="text1"/>
          <w:sz w:val="28"/>
          <w:szCs w:val="28"/>
        </w:rPr>
      </w:pPr>
      <w:r w:rsidRPr="002125C1">
        <w:rPr>
          <w:i/>
          <w:iCs/>
          <w:color w:val="000000" w:themeColor="text1"/>
          <w:sz w:val="28"/>
          <w:szCs w:val="28"/>
        </w:rPr>
        <w:t>Văn bản quy phạm pháp luật chỉ được sửa đổi, bổ sung, thay thế hoặc bãi bỏ bằng văn bản quy phạm pháp luật của chính cơ quan nhà nước đã ban hành văn bản đó hoặc bị đình chỉ việc thi hành hoặc bãi bỏ bằng văn bản của </w:t>
      </w:r>
      <w:r w:rsidRPr="002125C1">
        <w:rPr>
          <w:rStyle w:val="Emphasis"/>
          <w:b/>
          <w:bCs/>
          <w:color w:val="000000" w:themeColor="text1"/>
          <w:sz w:val="28"/>
          <w:szCs w:val="28"/>
        </w:rPr>
        <w:t>cơ quan Nhà nước cấp trên có thẩm quyền</w:t>
      </w:r>
      <w:r w:rsidRPr="002125C1">
        <w:rPr>
          <w:i/>
          <w:iCs/>
          <w:color w:val="000000" w:themeColor="text1"/>
          <w:sz w:val="28"/>
          <w:szCs w:val="28"/>
        </w:rPr>
        <w:t>.</w:t>
      </w:r>
    </w:p>
    <w:p w:rsidR="0056475E" w:rsidRPr="002125C1" w:rsidRDefault="0056475E" w:rsidP="002125C1">
      <w:pPr>
        <w:pStyle w:val="NormalWeb"/>
        <w:shd w:val="clear" w:color="auto" w:fill="FFFFFF"/>
        <w:spacing w:before="120" w:beforeAutospacing="0" w:after="120" w:afterAutospacing="0"/>
        <w:ind w:firstLine="567"/>
        <w:jc w:val="both"/>
        <w:rPr>
          <w:i/>
          <w:iCs/>
          <w:color w:val="000000" w:themeColor="text1"/>
          <w:sz w:val="28"/>
          <w:szCs w:val="28"/>
        </w:rPr>
      </w:pPr>
      <w:r w:rsidRPr="002125C1">
        <w:rPr>
          <w:color w:val="000000" w:themeColor="text1"/>
          <w:sz w:val="28"/>
          <w:szCs w:val="28"/>
        </w:rPr>
        <w:t>Thì khoản 3 Điều 1 Luật Ban hành văn bản quy phạm pháp luật sửa đổi đã điều chỉnh nội dung này theo hướng phù hợp với thực tiễn, đảm bảo giá trị cho các văn bản được ban hành: “</w:t>
      </w:r>
      <w:r w:rsidRPr="002125C1">
        <w:rPr>
          <w:i/>
          <w:iCs/>
          <w:color w:val="000000" w:themeColor="text1"/>
          <w:sz w:val="28"/>
          <w:szCs w:val="28"/>
        </w:rPr>
        <w:t>Văn bản quy phạm pháp luật chỉ được sửa đổi, bổ sung, thay thế hoặc bãi bỏ bằng văn bản quy phạm pháp luật của chính cơ quan nhà nước đã ban hành văn bản đó hoặc bị đình chỉ việc thi hành hoặc bãi bỏ bằng văn bản của </w:t>
      </w:r>
      <w:r w:rsidRPr="002125C1">
        <w:rPr>
          <w:rStyle w:val="Emphasis"/>
          <w:b/>
          <w:bCs/>
          <w:color w:val="000000" w:themeColor="text1"/>
          <w:sz w:val="28"/>
          <w:szCs w:val="28"/>
        </w:rPr>
        <w:t>cơ quan khác có thẩm quyền”</w:t>
      </w:r>
      <w:r w:rsidRPr="002125C1">
        <w:rPr>
          <w:i/>
          <w:iCs/>
          <w:color w:val="000000" w:themeColor="text1"/>
          <w:sz w:val="28"/>
          <w:szCs w:val="28"/>
        </w:rPr>
        <w:t>.</w:t>
      </w:r>
    </w:p>
    <w:p w:rsidR="00C035E9" w:rsidRPr="002125C1" w:rsidRDefault="00C035E9" w:rsidP="002125C1">
      <w:pPr>
        <w:pStyle w:val="Heading2"/>
        <w:shd w:val="clear" w:color="auto" w:fill="FFFFFF"/>
        <w:spacing w:before="120" w:beforeAutospacing="0" w:after="120" w:afterAutospacing="0"/>
        <w:ind w:firstLine="567"/>
        <w:jc w:val="both"/>
        <w:rPr>
          <w:color w:val="000000" w:themeColor="text1"/>
          <w:sz w:val="28"/>
          <w:szCs w:val="28"/>
        </w:rPr>
      </w:pPr>
      <w:r w:rsidRPr="002125C1">
        <w:rPr>
          <w:rStyle w:val="Strong"/>
          <w:b/>
          <w:bCs/>
          <w:color w:val="000000" w:themeColor="text1"/>
          <w:sz w:val="28"/>
          <w:szCs w:val="28"/>
        </w:rPr>
        <w:t>3. Vẫn được áp dụng văn bản cũ dù đã có văn bản mới</w:t>
      </w:r>
    </w:p>
    <w:p w:rsidR="00C035E9" w:rsidRPr="002125C1" w:rsidRDefault="00C035E9"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lastRenderedPageBreak/>
        <w:t>Liên quan đến việc sửa đổi, bổ sung, thay thế, bãi bỏ hoặc đình chỉ việc thi hành văn bản quy phạm pháp luật, cũng theo khoản 3 Điều 1 Luật Ban hành văn bản quy phạm pháp luật sửa đổi:</w:t>
      </w:r>
    </w:p>
    <w:p w:rsidR="00C035E9" w:rsidRPr="002125C1" w:rsidRDefault="00C035E9"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Khi ban hành văn bản quy phạm pháp luật, cơ quan ban hành phải sửa đổi, bổ sung, bãi bỏ văn bản, phần, chương, mục, tiểu mục, điều, khoản, điểm của văn bản do mình đã ban hành trái với quy định của văn bản mới ngay trong văn bản mới đó.</w:t>
      </w:r>
    </w:p>
    <w:p w:rsidR="00C035E9" w:rsidRPr="002125C1" w:rsidRDefault="00C035E9"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Trường hợp chưa thể sửa đổi, bổ sung ngay thì phải xác định rõ trong văn bản mới danh mục văn bản, phần, chương, mục, tiểu mục, điều, khoản, điểm của văn bản mà mình đã ban hành trái với quy định của văn bản mới và có trách nhiệm sửa đổi, bổ sung trước khi văn bản quy phạm pháp luật mới có hiệu lực.</w:t>
      </w:r>
    </w:p>
    <w:p w:rsidR="00C035E9" w:rsidRPr="002125C1" w:rsidRDefault="00C035E9"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Đặc biệt, trường hợp </w:t>
      </w:r>
      <w:r w:rsidRPr="002125C1">
        <w:rPr>
          <w:rStyle w:val="Emphasis"/>
          <w:color w:val="000000" w:themeColor="text1"/>
          <w:sz w:val="28"/>
          <w:szCs w:val="28"/>
        </w:rPr>
        <w:t>văn bản, phần, chương, mục, tiểu mục, điều, khoản, điểm của văn bản đã ban hành có quy định khác với văn bản mới nhưng cần tiếp tục được áp dụng thì phải được chỉ rõ trong văn bản mới</w:t>
      </w:r>
      <w:r w:rsidRPr="002125C1">
        <w:rPr>
          <w:color w:val="000000" w:themeColor="text1"/>
          <w:sz w:val="28"/>
          <w:szCs w:val="28"/>
        </w:rPr>
        <w:t> đó.</w:t>
      </w:r>
    </w:p>
    <w:p w:rsidR="00C035E9" w:rsidRPr="002125C1" w:rsidRDefault="00C035E9"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Điều này đồng nghĩa với việc, dù có văn bản mới nhưng văn bản cũ vẫn phù hợp với thực tiễn thì vẫn được áp dụng cho đến thời điểm được quy định trong văn bản mới.</w:t>
      </w:r>
    </w:p>
    <w:p w:rsidR="00C035E9" w:rsidRPr="002125C1" w:rsidRDefault="00C035E9"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b/>
          <w:color w:val="000000" w:themeColor="text1"/>
          <w:sz w:val="28"/>
          <w:szCs w:val="28"/>
        </w:rPr>
        <w:t> </w:t>
      </w:r>
      <w:r w:rsidRPr="002125C1">
        <w:rPr>
          <w:rStyle w:val="Strong"/>
          <w:bCs w:val="0"/>
          <w:color w:val="000000" w:themeColor="text1"/>
          <w:sz w:val="28"/>
          <w:szCs w:val="28"/>
        </w:rPr>
        <w:t>4</w:t>
      </w:r>
      <w:r w:rsidRPr="002125C1">
        <w:rPr>
          <w:rStyle w:val="Strong"/>
          <w:b w:val="0"/>
          <w:bCs w:val="0"/>
          <w:color w:val="000000" w:themeColor="text1"/>
          <w:sz w:val="28"/>
          <w:szCs w:val="28"/>
        </w:rPr>
        <w:t xml:space="preserve">. </w:t>
      </w:r>
      <w:r w:rsidRPr="002125C1">
        <w:rPr>
          <w:rStyle w:val="Strong"/>
          <w:bCs w:val="0"/>
          <w:color w:val="000000" w:themeColor="text1"/>
          <w:sz w:val="28"/>
          <w:szCs w:val="28"/>
        </w:rPr>
        <w:t>Thêm trường hợp văn bản được ban hành theo thủ tục rút gọn</w:t>
      </w:r>
    </w:p>
    <w:p w:rsidR="00C035E9" w:rsidRPr="002125C1" w:rsidRDefault="00C035E9"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So với hiện nay, Luật sửa đổi, bổ sung một số điều của Luật Ban hành văn bản quy phạm pháp luật đã bổ sung thêm 03 trường hợp văn bản được xây dựng, ban hành theo trình tự, thủ tục rút gọn.</w:t>
      </w:r>
    </w:p>
    <w:p w:rsidR="00C035E9" w:rsidRPr="002125C1" w:rsidRDefault="00C035E9"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Và như vậy, tới đây, sẽ có 05 trường hợp xây dựng, ban hành văn bản quy phạm pháp luật theo trình tự, thủ tục rút gọn. Cụ thể:</w:t>
      </w:r>
    </w:p>
    <w:p w:rsidR="00C035E9" w:rsidRPr="002125C1" w:rsidRDefault="00C035E9"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Trường hợp khẩn cấp theo quy định của pháp luật về tình trạng khẩn cấp; trường hợp đột xuất, khẩn cấp trong phòng, chống thiên tai, dịch bệnh, cháy, nổ; trường hợp cấp bách để giải quyết những vấn đề phát sinh trong thực tiễn.</w:t>
      </w:r>
    </w:p>
    <w:p w:rsidR="00C035E9" w:rsidRPr="002125C1" w:rsidRDefault="00C035E9"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Trường hợp để ngưng hiệu lực toàn bộ hoặc một phần của văn bản quy phạm pháp luật để kịp thời bảo vệ lợi ích của Nhà nước, quyền, lợi ích hợp pháp của tổ chức, cá nhân.</w:t>
      </w:r>
    </w:p>
    <w:p w:rsidR="00C035E9" w:rsidRPr="002125C1" w:rsidRDefault="00C035E9"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Trường hợp cần sửa đổi ngay cho phù hợp với văn bản quy phạm pháp luật mới được ban hành; cần ban hành ngay văn bản để thực hiện điều ước quốc tế có liên quan mà Cộng hòa xã hội chủ nghĩa Việt Nam là thành viên </w:t>
      </w:r>
      <w:r w:rsidRPr="002125C1">
        <w:rPr>
          <w:rStyle w:val="Emphasis"/>
          <w:color w:val="000000" w:themeColor="text1"/>
          <w:sz w:val="28"/>
          <w:szCs w:val="28"/>
        </w:rPr>
        <w:t>(mới)</w:t>
      </w:r>
      <w:r w:rsidRPr="002125C1">
        <w:rPr>
          <w:color w:val="000000" w:themeColor="text1"/>
          <w:sz w:val="28"/>
          <w:szCs w:val="28"/>
        </w:rPr>
        <w:t>.</w:t>
      </w:r>
    </w:p>
    <w:p w:rsidR="00C035E9" w:rsidRPr="002125C1" w:rsidRDefault="00C035E9"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Trường hợp để bãi bỏ một phần hoặc toàn bộ văn bản quy phạm pháp luật trái pháp luật hoặc không còn phù hợp với tình hình phát triển kinh tế - xã hội </w:t>
      </w:r>
      <w:r w:rsidRPr="002125C1">
        <w:rPr>
          <w:rStyle w:val="Emphasis"/>
          <w:color w:val="000000" w:themeColor="text1"/>
          <w:sz w:val="28"/>
          <w:szCs w:val="28"/>
        </w:rPr>
        <w:t>(mới)</w:t>
      </w:r>
      <w:r w:rsidRPr="002125C1">
        <w:rPr>
          <w:color w:val="000000" w:themeColor="text1"/>
          <w:sz w:val="28"/>
          <w:szCs w:val="28"/>
        </w:rPr>
        <w:t>.</w:t>
      </w:r>
    </w:p>
    <w:p w:rsidR="00C035E9" w:rsidRPr="002125C1" w:rsidRDefault="00C035E9"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Trường hợp để kéo dài thời hạn áp dụng toàn bộ hoặc một phần của văn bản quy phạm pháp luật trong một thời hạn nhất định để giải quyết những vấn đề cấp bách phát sinh trong thực tiễn </w:t>
      </w:r>
      <w:r w:rsidRPr="002125C1">
        <w:rPr>
          <w:rStyle w:val="Emphasis"/>
          <w:color w:val="000000" w:themeColor="text1"/>
          <w:sz w:val="28"/>
          <w:szCs w:val="28"/>
        </w:rPr>
        <w:t>(mới)</w:t>
      </w:r>
      <w:r w:rsidRPr="002125C1">
        <w:rPr>
          <w:color w:val="000000" w:themeColor="text1"/>
          <w:sz w:val="28"/>
          <w:szCs w:val="28"/>
        </w:rPr>
        <w:t>.</w:t>
      </w:r>
    </w:p>
    <w:p w:rsidR="00C035E9" w:rsidRPr="002125C1" w:rsidRDefault="00C035E9"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lastRenderedPageBreak/>
        <w:t>Trên đây là một số điểm thay đổi tiêu biểu của Luật sửa đổi, bổ sung một số điều của Luật Ban hành văn bản quy phạm pháp luật so với Luật Ban hành văn bản quy phạm pháp luật 2015.</w:t>
      </w:r>
    </w:p>
    <w:p w:rsidR="00FD49F4" w:rsidRPr="00A4461E" w:rsidRDefault="00812BF5" w:rsidP="002125C1">
      <w:pPr>
        <w:pStyle w:val="Heading1"/>
        <w:shd w:val="clear" w:color="auto" w:fill="FFFFFF"/>
        <w:spacing w:before="120" w:beforeAutospacing="0" w:after="120" w:afterAutospacing="0"/>
        <w:ind w:firstLine="567"/>
        <w:jc w:val="both"/>
        <w:rPr>
          <w:caps/>
          <w:color w:val="000000" w:themeColor="text1"/>
          <w:sz w:val="28"/>
          <w:szCs w:val="28"/>
        </w:rPr>
      </w:pPr>
      <w:r>
        <w:rPr>
          <w:color w:val="000000" w:themeColor="text1"/>
          <w:sz w:val="28"/>
          <w:szCs w:val="28"/>
        </w:rPr>
        <w:t>IX</w:t>
      </w:r>
      <w:r w:rsidR="008910D2" w:rsidRPr="002125C1">
        <w:rPr>
          <w:color w:val="000000" w:themeColor="text1"/>
          <w:sz w:val="28"/>
          <w:szCs w:val="28"/>
        </w:rPr>
        <w:t xml:space="preserve">. </w:t>
      </w:r>
      <w:r w:rsidR="008910D2" w:rsidRPr="00A4461E">
        <w:rPr>
          <w:caps/>
          <w:color w:val="000000" w:themeColor="text1"/>
          <w:sz w:val="28"/>
          <w:szCs w:val="28"/>
        </w:rPr>
        <w:t xml:space="preserve">Một số </w:t>
      </w:r>
      <w:r w:rsidR="00AD4D92" w:rsidRPr="00A4461E">
        <w:rPr>
          <w:caps/>
          <w:color w:val="000000" w:themeColor="text1"/>
          <w:sz w:val="28"/>
          <w:szCs w:val="28"/>
        </w:rPr>
        <w:t>điểm mới của</w:t>
      </w:r>
      <w:r w:rsidR="008910D2" w:rsidRPr="00A4461E">
        <w:rPr>
          <w:caps/>
          <w:color w:val="000000" w:themeColor="text1"/>
          <w:sz w:val="28"/>
          <w:szCs w:val="28"/>
        </w:rPr>
        <w:t xml:space="preserve"> </w:t>
      </w:r>
      <w:r w:rsidR="00FD49F4" w:rsidRPr="00A4461E">
        <w:rPr>
          <w:caps/>
          <w:color w:val="000000" w:themeColor="text1"/>
          <w:sz w:val="28"/>
          <w:szCs w:val="28"/>
        </w:rPr>
        <w:t>Luật sửa đổi, bổ sung một số điều của Luật Tổ chức Quốc hội</w:t>
      </w:r>
    </w:p>
    <w:p w:rsidR="00AD4D92" w:rsidRPr="002125C1" w:rsidRDefault="00AD4D92" w:rsidP="002125C1">
      <w:pPr>
        <w:pStyle w:val="Heading2"/>
        <w:shd w:val="clear" w:color="auto" w:fill="FFFFFF"/>
        <w:spacing w:before="120" w:beforeAutospacing="0" w:after="120" w:afterAutospacing="0"/>
        <w:ind w:firstLine="567"/>
        <w:jc w:val="both"/>
        <w:rPr>
          <w:color w:val="000000" w:themeColor="text1"/>
          <w:sz w:val="28"/>
          <w:szCs w:val="28"/>
        </w:rPr>
      </w:pPr>
      <w:r w:rsidRPr="002125C1">
        <w:rPr>
          <w:rStyle w:val="Strong"/>
          <w:b/>
          <w:bCs/>
          <w:color w:val="000000" w:themeColor="text1"/>
          <w:sz w:val="28"/>
          <w:szCs w:val="28"/>
        </w:rPr>
        <w:t>1. Thêm điều kiện quốc tịch của đại biểu Quốc hội</w:t>
      </w:r>
    </w:p>
    <w:p w:rsidR="00AD4D92" w:rsidRPr="002125C1" w:rsidRDefault="00AD4D92"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Hiện nay, để trở thành đại biểu Quốc hội phải đáp ứng 05 điều kiện là trung thành với Tổ quốc, nhân dân và Hiến pháp; Có phẩm chất đạo đức tốt, cần, kiệm, liêm, chính, chí công vô tư, gương mẫu chấp hành pháp luật; có điều kiện tham gia các hoạt động của Quốc hội…</w:t>
      </w:r>
    </w:p>
    <w:p w:rsidR="00AD4D92" w:rsidRPr="002125C1" w:rsidRDefault="00AD4D92" w:rsidP="002125C1">
      <w:pPr>
        <w:pStyle w:val="NormalWeb"/>
        <w:shd w:val="clear" w:color="auto" w:fill="FFFFFF"/>
        <w:spacing w:before="120" w:beforeAutospacing="0" w:after="120" w:afterAutospacing="0"/>
        <w:ind w:firstLine="567"/>
        <w:jc w:val="both"/>
        <w:rPr>
          <w:color w:val="000000" w:themeColor="text1"/>
          <w:sz w:val="28"/>
          <w:szCs w:val="28"/>
          <w:shd w:val="clear" w:color="auto" w:fill="FFFFFF"/>
        </w:rPr>
      </w:pPr>
      <w:r w:rsidRPr="002125C1">
        <w:rPr>
          <w:color w:val="000000" w:themeColor="text1"/>
          <w:sz w:val="28"/>
          <w:szCs w:val="28"/>
          <w:shd w:val="clear" w:color="auto" w:fill="FFFFFF"/>
        </w:rPr>
        <w:t>Thì nay Luật sửa đổi, bổ sung Luật Tổ chức Quốc hội bổ sung thêm 01 điều kiện nữa là phải có một quốc tịch là quốc tịch Việt Nam. Điều này hoàn toàn phù hợp với thực tiễn cũng như đảm bảo đại biểu Quốc hội là người Việt Nam.</w:t>
      </w:r>
    </w:p>
    <w:p w:rsidR="00AD4D92" w:rsidRPr="002125C1" w:rsidRDefault="00AD4D92" w:rsidP="002125C1">
      <w:pPr>
        <w:pStyle w:val="Heading2"/>
        <w:shd w:val="clear" w:color="auto" w:fill="FFFFFF"/>
        <w:spacing w:before="120" w:beforeAutospacing="0" w:after="120" w:afterAutospacing="0"/>
        <w:ind w:firstLine="567"/>
        <w:jc w:val="both"/>
        <w:rPr>
          <w:color w:val="000000" w:themeColor="text1"/>
          <w:sz w:val="28"/>
          <w:szCs w:val="28"/>
        </w:rPr>
      </w:pPr>
      <w:r w:rsidRPr="002125C1">
        <w:rPr>
          <w:rStyle w:val="Strong"/>
          <w:b/>
          <w:bCs/>
          <w:color w:val="000000" w:themeColor="text1"/>
          <w:sz w:val="28"/>
          <w:szCs w:val="28"/>
        </w:rPr>
        <w:t>2. Nâng số lượng đại biểu Quốc hội thêm 5%</w:t>
      </w:r>
    </w:p>
    <w:p w:rsidR="00AD4D92" w:rsidRPr="002125C1" w:rsidRDefault="00AD4D92"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Theo quy định hiện nay, tại </w:t>
      </w:r>
      <w:hyperlink r:id="rId18" w:history="1">
        <w:r w:rsidRPr="002125C1">
          <w:rPr>
            <w:rStyle w:val="Hyperlink"/>
            <w:color w:val="000000" w:themeColor="text1"/>
            <w:sz w:val="28"/>
            <w:szCs w:val="28"/>
            <w:u w:val="none"/>
          </w:rPr>
          <w:t>Điều 23 Luật Tổ chức Quốc hội</w:t>
        </w:r>
      </w:hyperlink>
      <w:r w:rsidRPr="002125C1">
        <w:rPr>
          <w:color w:val="000000" w:themeColor="text1"/>
          <w:sz w:val="28"/>
          <w:szCs w:val="28"/>
        </w:rPr>
        <w:t>, tổng số đại biểu Quốc hội không quá 500 người gồm đại biểu hoạt động chuyên trách và đại biểu hoạt động không chuyên trách.</w:t>
      </w:r>
    </w:p>
    <w:p w:rsidR="00AD4D92" w:rsidRPr="002125C1" w:rsidRDefault="00AD4D92"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Trong đó, số lượng đại biểu Quốc hội hoạt động chuyên trách ít nhất là 30% tổng số đại biểu Quốc hội. Tuy nhiên, Luật sửa đổi này đã nâng số lượng đại biểu Quốc hội hoạt động không chuyên trách lên ít nhất là 40% tổng số đại biểu Quốc hội.</w:t>
      </w:r>
    </w:p>
    <w:p w:rsidR="00AD4D92" w:rsidRPr="002125C1" w:rsidRDefault="00AD4D92"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 xml:space="preserve">Quy định này tạo cơ sở pháp lý cho công tác quy hoạch, chuẩn bị nguồn nhân sự để giới thiệu tham gia ứng cử làm đại biểu Quốc hội hoạt động không chuyên trách, góp phần tăng cường tính chuyên nghiệp, góp phần nâng cao hiệu quả hoạt động của Quốc hội. </w:t>
      </w:r>
    </w:p>
    <w:p w:rsidR="00AD4D92" w:rsidRPr="002125C1" w:rsidRDefault="00AD4D92"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rStyle w:val="Strong"/>
          <w:bCs w:val="0"/>
          <w:color w:val="000000" w:themeColor="text1"/>
          <w:sz w:val="28"/>
          <w:szCs w:val="28"/>
        </w:rPr>
        <w:t>3. Bổ sung nguyên tắc hoạt động của Ủy ban Thường vụ Quốc hội</w:t>
      </w:r>
    </w:p>
    <w:p w:rsidR="00AD4D92" w:rsidRPr="002125C1" w:rsidRDefault="00AD4D92"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Một trong những nội dung đáng chú ý nữa được đưa vào Luật sửa đổi, bổ sung lần này là việc bổ sung thêm nguyên tắc hoạt động của Ủy ban thường vụ Quốc hội. Trong đó, bổ sung thêm nguyên tắc, cơ quan này sẽ làm việc theo chế độ tập thể và quyết định theo đa số.</w:t>
      </w:r>
    </w:p>
    <w:p w:rsidR="00AD4D92" w:rsidRPr="002125C1" w:rsidRDefault="00AD4D92"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Do đó, những Pháp lệnh, Nghị quyết của Ủy ban thường vụ Quốc hội được thông qua khi có quá nửa tổng số thành viên biểu quyết tán thành.</w:t>
      </w:r>
    </w:p>
    <w:p w:rsidR="00AD4D92" w:rsidRPr="002125C1" w:rsidRDefault="00AD4D92" w:rsidP="002125C1">
      <w:pPr>
        <w:pStyle w:val="NormalWeb"/>
        <w:shd w:val="clear" w:color="auto" w:fill="FFFFFF"/>
        <w:spacing w:before="120" w:beforeAutospacing="0" w:after="120" w:afterAutospacing="0"/>
        <w:ind w:firstLine="567"/>
        <w:jc w:val="both"/>
        <w:rPr>
          <w:color w:val="000000" w:themeColor="text1"/>
          <w:sz w:val="28"/>
          <w:szCs w:val="28"/>
        </w:rPr>
      </w:pPr>
      <w:r w:rsidRPr="002125C1">
        <w:rPr>
          <w:color w:val="000000" w:themeColor="text1"/>
          <w:sz w:val="28"/>
          <w:szCs w:val="28"/>
        </w:rPr>
        <w:t>Trên đây là tổng hợp 03 </w:t>
      </w:r>
      <w:r w:rsidRPr="002125C1">
        <w:rPr>
          <w:rStyle w:val="Strong"/>
          <w:i/>
          <w:iCs/>
          <w:color w:val="000000" w:themeColor="text1"/>
          <w:sz w:val="28"/>
          <w:szCs w:val="28"/>
        </w:rPr>
        <w:t>điểm mới của Luật Tổ chức quốc hội sửa đổi, bổ sung</w:t>
      </w:r>
      <w:r w:rsidRPr="002125C1">
        <w:rPr>
          <w:color w:val="000000" w:themeColor="text1"/>
          <w:sz w:val="28"/>
          <w:szCs w:val="28"/>
        </w:rPr>
        <w:t>. Luật này sẽ chính thức có hiệu lực từ 01/01/2021</w:t>
      </w:r>
    </w:p>
    <w:p w:rsidR="004B2BEB" w:rsidRPr="00A4461E" w:rsidRDefault="00812BF5" w:rsidP="00812BF5">
      <w:pPr>
        <w:pStyle w:val="Heading1"/>
        <w:shd w:val="clear" w:color="auto" w:fill="FFFFFF"/>
        <w:spacing w:before="120" w:beforeAutospacing="0" w:after="0" w:afterAutospacing="0" w:line="450" w:lineRule="atLeast"/>
        <w:ind w:firstLine="567"/>
        <w:jc w:val="both"/>
        <w:rPr>
          <w:bCs w:val="0"/>
          <w:caps/>
          <w:color w:val="222222"/>
          <w:sz w:val="28"/>
          <w:szCs w:val="28"/>
        </w:rPr>
      </w:pPr>
      <w:r>
        <w:rPr>
          <w:bCs w:val="0"/>
          <w:color w:val="222222"/>
          <w:sz w:val="28"/>
          <w:szCs w:val="28"/>
        </w:rPr>
        <w:t>X</w:t>
      </w:r>
      <w:r w:rsidR="004B2BEB" w:rsidRPr="004B2BEB">
        <w:rPr>
          <w:bCs w:val="0"/>
          <w:color w:val="222222"/>
          <w:sz w:val="28"/>
          <w:szCs w:val="28"/>
        </w:rPr>
        <w:t xml:space="preserve">. </w:t>
      </w:r>
      <w:r w:rsidR="004B2BEB" w:rsidRPr="00A4461E">
        <w:rPr>
          <w:bCs w:val="0"/>
          <w:caps/>
          <w:color w:val="222222"/>
          <w:sz w:val="28"/>
          <w:szCs w:val="28"/>
        </w:rPr>
        <w:t>Một số điểm nổi bật của Luật Đầu tư theo phương thức đối tác công tư</w:t>
      </w:r>
    </w:p>
    <w:p w:rsidR="004B2BEB" w:rsidRPr="004B2BEB" w:rsidRDefault="004B2BEB" w:rsidP="004B2BEB">
      <w:pPr>
        <w:pStyle w:val="Heading2"/>
        <w:shd w:val="clear" w:color="auto" w:fill="FFFFFF"/>
        <w:spacing w:before="0" w:beforeAutospacing="0" w:after="0" w:afterAutospacing="0" w:line="405" w:lineRule="atLeast"/>
        <w:ind w:firstLine="567"/>
        <w:jc w:val="both"/>
        <w:rPr>
          <w:color w:val="000000" w:themeColor="text1"/>
          <w:sz w:val="28"/>
          <w:szCs w:val="28"/>
        </w:rPr>
      </w:pPr>
      <w:r w:rsidRPr="004B2BEB">
        <w:rPr>
          <w:rStyle w:val="Strong"/>
          <w:b/>
          <w:bCs/>
          <w:color w:val="000000" w:themeColor="text1"/>
          <w:sz w:val="28"/>
          <w:szCs w:val="28"/>
        </w:rPr>
        <w:t>1. Chỉ 5 lĩnh vực được đầu tư theo phương thức PPP</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lastRenderedPageBreak/>
        <w:t>Điều 4 Luật Đầu tư theo phương thức đối tác công tư liệt kê các lĩnh vực đầu tư theo phương thức PPP bao gồm:</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(1) Giao thông;</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(2) Lưới điện, nhà máy điện;</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(3) Thủy lợi, cung cấp nước sạch, thoát nước, xử lý nước thải, chất thải; (4) Y tế, giáo dục - đào tạo;</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(5) Hạ tầng công nghệ thông tin.</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Trong đó, quy mô tổng mức đầu tư tối thiểu của dự án PPP đối với từng lĩnh vực như sau:</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Không thấp hơn 200 tỷ đồng đối với các dự án thuộc lĩnh vực: Giao thông vận tải; lưới điện; thủy lợi, cung cấp nước sạch, thoát nước và xử lý nước thải, xử lý chất thải và hạ tầng công nghệ thông tin.</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Trường hợp thuộc địa bàn có điều kiện kinh tế - xã hội khó khăn và đặc biệt khó khăn theo pháp luật về đầu tư thì không thấp hơn 100 tỷ đồng.</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Không thấp hơn 100 tỷ đồng đối với các dự án thuộc lĩnh vực: Y tế, giáo dục - đào tạo.</w:t>
      </w:r>
    </w:p>
    <w:p w:rsidR="004B2BEB" w:rsidRPr="004B2BEB" w:rsidRDefault="004B2BEB" w:rsidP="004B2BEB">
      <w:pPr>
        <w:pStyle w:val="Heading2"/>
        <w:shd w:val="clear" w:color="auto" w:fill="FFFFFF"/>
        <w:spacing w:before="0" w:beforeAutospacing="0" w:after="0" w:afterAutospacing="0" w:line="405" w:lineRule="atLeast"/>
        <w:ind w:firstLine="567"/>
        <w:jc w:val="both"/>
        <w:rPr>
          <w:color w:val="000000" w:themeColor="text1"/>
          <w:sz w:val="28"/>
          <w:szCs w:val="28"/>
        </w:rPr>
      </w:pPr>
      <w:r w:rsidRPr="004B2BEB">
        <w:rPr>
          <w:rStyle w:val="Strong"/>
          <w:b/>
          <w:bCs/>
          <w:color w:val="000000" w:themeColor="text1"/>
          <w:sz w:val="28"/>
          <w:szCs w:val="28"/>
        </w:rPr>
        <w:t>2. Thông tin dự án phải công bố trên Hệ thống mạng đấu thầu quốc gia</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Để đảm bảo tính công khai, minh bạch trong đầu tư theo phương thức PPP, Điều 9 của Luật quy định một số thông tin phải được công bố trên Hệ thống mạng đấu thầu quốc gia. Cụ thể:</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Thông tin về quyết định chủ trương đầu tư; quyết định phê duyệt dự án PPP;</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Thông tin về lựa chọn nhà đầu tư, gồm: Thông báo mời sơ tuyển, thông báo mời thầu, danh sách ngắn, kết quả lựa chọn nhà đầu tư;</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Thông tin về nhà đầu tư được lựa chọn, doanh nghiệp dự án PPP;</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Nội dung chính của hợp đồng dự án PPP, gồm: Tổng vốn đầu tư; cơ cấu nguồn vốn trong dự án; loại hợp đồng; thời hạn thực hiện dự án (nếu có); giá, phí sản phẩm, dịch vụ; hình thức và địa điểm thu giá, phí (nếu có) và các thông tin cần thiết khác;</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Giá trị quyết toán vốn đầu tư công trong dự án PPP trong trường hợp có sử dụng;</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Văn bản quy phạm pháp luật về đầu tư theo phương thức PPP;</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Cơ sở dữ liệu về nhà đầu tư;</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Thông tin giải quyết kiến nghị, xử lý vi phạm pháp luật về đầu tư theo phương thức PPP.</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Ngoài ra, các thông tin này còn được khuyến khích đăng tải trên các phương tiện thông tin đại chúng khác.</w:t>
      </w:r>
    </w:p>
    <w:p w:rsidR="004B2BEB" w:rsidRPr="004B2BEB" w:rsidRDefault="004B2BEB" w:rsidP="004B2BEB">
      <w:pPr>
        <w:pStyle w:val="Heading2"/>
        <w:shd w:val="clear" w:color="auto" w:fill="FFFFFF"/>
        <w:spacing w:before="0" w:beforeAutospacing="0" w:after="0" w:afterAutospacing="0" w:line="405" w:lineRule="atLeast"/>
        <w:ind w:firstLine="567"/>
        <w:jc w:val="both"/>
        <w:rPr>
          <w:color w:val="000000" w:themeColor="text1"/>
          <w:sz w:val="28"/>
          <w:szCs w:val="28"/>
        </w:rPr>
      </w:pPr>
      <w:r w:rsidRPr="004B2BEB">
        <w:rPr>
          <w:rStyle w:val="Strong"/>
          <w:b/>
          <w:bCs/>
          <w:color w:val="000000" w:themeColor="text1"/>
          <w:sz w:val="28"/>
          <w:szCs w:val="28"/>
        </w:rPr>
        <w:t>3. 12 hành vi bị cấm trong đầu tư theo phương thức PPP</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Các hành vi này được quy định tại Điều 10 Luật này. Cụ thể:</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lastRenderedPageBreak/>
        <w:t>- Quyết định chủ trương đầu tư dự án PPP không phù hợp với chiến lược, quy hoạch, kế hoạch; không xác định được nguồn vốn Nhà nước trong dự án PPP trường hợp dự án có yêu cầu sử dụng; không đúng thẩm quyền, trình tự, thủ tục;</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Phê duyệt dự án PPP khi chưa có chủ trương đầu tư; không phù hợp với chủ trương đầu tư; không đúng thẩm quyền, trình tự, thủ tục;</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Cơ quan có thẩm quyền, cơ quan ký kết hợp đồng thông đồng với tổ chức tư vấn, nhà đầu tư dẫn tới quyết định chủ trương đầu tư, phê duyệt dự án PPP gây thất thoát vốn, tài sản của Nhà nước, tài nguyên của quốc gia; làm tổn hại, xâm phạm lợi ích của công dân và của cộng đồng;</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Không bảo đảm công bằng, minh bạch trong lựa chọn nhà đầu tư;</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Tiết lộ, tiếp nhận tài liệu, thông tin về quá trình lựa chọn nhà đầu tư;</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Thông thầu;</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Chuyển nhượng cổ phần, phần vốn góp, quyền và nghĩa vụ không đúng quy định của Luật này và hợp đồng dự án PPP;</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Dừng cung cấp sản phẩm, dịch vụ công ngoài trường hợp quy định tại hợp đồng dự án PPP;</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Đưa, nhận, môi giới hối lộ;</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Lợi dụng chức vụ, quyền hạn để chiếm đoạt, vụ lợi, tham nhũng trong quản lý và sử dụng vốn nhà nước trong dự án PPP; can thiệp bất hợp pháp vào quy trình thực hiện dự án PPP;</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Gian lận, làm giả, làm sai lệch thông tin, hồ sơ, tài liệu; cố ý cung cấp thông tin không trung thực, không khách quan;</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Cản trở việc phát hiện, xử lý hành vi vi phạm pháp luật về đầu tư theo phương thức PPP.</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w:t>
      </w:r>
      <w:r w:rsidRPr="004B2BEB">
        <w:rPr>
          <w:rStyle w:val="Strong"/>
          <w:b w:val="0"/>
          <w:bCs w:val="0"/>
          <w:color w:val="000000" w:themeColor="text1"/>
          <w:sz w:val="28"/>
          <w:szCs w:val="28"/>
        </w:rPr>
        <w:t>4. Quy định chi tiết tư cách hợp lệ của nhà đầu tư</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Không phải nhà đầu tư nào cũng có thể tham gia đầu tư theo phương thức PPP mà chỉ những nhà đầu tư đáp ứng được các điều kiện sau:</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Có đăng ký thành lập, hoạt động do cơ quan có thẩm quyền của nước mà nhà đầu tư đang hoạt động cấp;</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Hạch toán tài chính độc lập; bảo đảm cạnh tranh trong lựa chọn nhà đầu tư;</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Không đang trong quá trình giải thể; không thuộc trường hợp mất khả năng thanh toán theo quy định của pháp luật;</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Không đang trong thời gian bị cấm tham gia hoạt động đầu tư theo phương thức PPP;</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Doanh nghiệp do Nhà nước nắm giữ 100% vốn điều lệ phải liên danh với nhà đầu tư thuộc khu vực tư nhân để tham dự thầu;</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lastRenderedPageBreak/>
        <w:t>- Nhà đầu tư thành lập theo pháp luật nước ngoài phải đáp ứng điều kiện tiếp cận thị trường khi tham dự thầu dự án thuộc ngành, nghề tiếp cận thị trường có điều kiện theo pháp luật về đầu tư.</w:t>
      </w:r>
    </w:p>
    <w:p w:rsidR="004B2BEB" w:rsidRPr="004B2BEB" w:rsidRDefault="004B2BEB" w:rsidP="004B2BEB">
      <w:pPr>
        <w:pStyle w:val="Heading2"/>
        <w:shd w:val="clear" w:color="auto" w:fill="FFFFFF"/>
        <w:spacing w:before="0" w:beforeAutospacing="0" w:after="0" w:afterAutospacing="0" w:line="405" w:lineRule="atLeast"/>
        <w:ind w:firstLine="567"/>
        <w:jc w:val="both"/>
        <w:rPr>
          <w:color w:val="000000" w:themeColor="text1"/>
          <w:sz w:val="28"/>
          <w:szCs w:val="28"/>
        </w:rPr>
      </w:pPr>
      <w:r w:rsidRPr="004B2BEB">
        <w:rPr>
          <w:rStyle w:val="Strong"/>
          <w:b/>
          <w:bCs/>
          <w:color w:val="000000" w:themeColor="text1"/>
          <w:sz w:val="28"/>
          <w:szCs w:val="28"/>
        </w:rPr>
        <w:t>5. Thống nhất lựa chọn nhà đầu tư theo Luật Đầu tư</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Các hình thức lựa chọn nhà đầu tư được áp dụng trong đầu tư theo phương thức PPP như sau:</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rStyle w:val="Emphasis"/>
          <w:color w:val="000000" w:themeColor="text1"/>
          <w:sz w:val="28"/>
          <w:szCs w:val="28"/>
        </w:rPr>
        <w:t>- Đấu thầu rộng rãi</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Là hình thức lựa chọn nhà đầu tư trong đó không hạn chế số lượng nhà đầu tư tham dự.</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Áp dụng cho tất cả dự án PPP, trừ các trường hợp phải được lựa chọn theo hình thức đặc biệt.</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rStyle w:val="Emphasis"/>
          <w:color w:val="000000" w:themeColor="text1"/>
          <w:sz w:val="28"/>
          <w:szCs w:val="28"/>
        </w:rPr>
        <w:t>- Đàm phán cạnh tranh</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Là hình thức lựa chọn nhà đầu tư trong đó chỉ có một số nhà đầu tư đáp ứng yêu cầu thực hiện dự án được mời tham dự.</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Áp dụng trong trường hợp dự án ứng dụng công nghệ cao thuộc danh mục công nghệ cao được ưu tiên đầu tư phát triển theo quy định của pháp luật về công nghệ cao hoặc dự án có yêu cầu công nghệ mới.</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rStyle w:val="Emphasis"/>
          <w:color w:val="000000" w:themeColor="text1"/>
          <w:sz w:val="28"/>
          <w:szCs w:val="28"/>
        </w:rPr>
        <w:t>- Chỉ định nhà đầu tư</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Áp dụng theo một trong các trường hợp:</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Dự án cần bảo đảm về quốc phòng, an ninh quốc gia, bí mật Nhà nước;</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Dự án cần lựa chọn ngay nhà đầu tư thay thế để bảo đảm tính liên tục trong quá trình xây dựng công trình, hệ thống cơ sở hạ tầng, cung cấp sản phẩm, dịch vụ công.</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rStyle w:val="Emphasis"/>
          <w:color w:val="000000" w:themeColor="text1"/>
          <w:sz w:val="28"/>
          <w:szCs w:val="28"/>
        </w:rPr>
        <w:t>- Lựa chọn nhà đầu tư trong trường hợp đặc biệt</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Trường hợp dự án xuất hiện các điều kiện đặc thù, riêng biệt mà không thể áp dụng các hình thức lựa chọn nhà đầu tư nêu trên thì cơ quan có thẩm quyền trình Thủ tướng Chính phủ xem xét, quyết định phương án lựa chọn nhà đầu tư.</w:t>
      </w:r>
      <w:r w:rsidRPr="004B2BEB">
        <w:rPr>
          <w:color w:val="000000" w:themeColor="text1"/>
          <w:sz w:val="28"/>
          <w:szCs w:val="28"/>
        </w:rPr>
        <w:br/>
        <w:t> </w:t>
      </w:r>
      <w:r w:rsidRPr="004B2BEB">
        <w:rPr>
          <w:rStyle w:val="Strong"/>
          <w:b w:val="0"/>
          <w:bCs w:val="0"/>
          <w:color w:val="000000" w:themeColor="text1"/>
          <w:sz w:val="28"/>
          <w:szCs w:val="28"/>
        </w:rPr>
        <w:t>6. Doanh nghiệp dự án PPP được thành lập theo dạng công ty</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Theo quy định tại Điều 44, sau khi có quyết định phê duyệt kết quả lựa chọn nhà đầu tư, nhà đầu tư chỉ được thành lập doanh nghiệp dự án PPP theo mô hình công ty trách nhiệm hữu hạn hoặc công ty cổ phần (không được là công ty đại chúng) và có mục đích duy nhất để ký kết, thực hiện hợp đồng dự án PPP.</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Doanh nghiệp được phát hành, mua lại trái phiếu riêng lẻ do mình đã phát hành, chứng khoán để huy động vốn thực hiện dự án PPP; không được phát hành trái phiếu riêng lẻ chuyển đổi và trái phiếu riêng lẻ kèm chứng quyền.</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Việc phát hành trái phiếu phải đáp ứng đủ 03 điều kiện:</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Số vốn huy động thông qua phát hành trái phiếu không vượt quá giá trị phần vốn vay được xác định tại hợp đồng dự án PPP;</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lastRenderedPageBreak/>
        <w:t>- Vốn huy động thông qua phát hành trái phiếu không được sử dụng cho bất kỳ mục đích nào ngoài mục đích thực hiện dự án theo hợp đồng dự án PPP hoặc cho việc cơ cấu lại các khoản nợ của doanh nghiệp;</w:t>
      </w:r>
    </w:p>
    <w:p w:rsid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Doanh nghiệp dự án PPP phải mở tài khoản phong tỏa để nhận tiền mua trái phiếu và giải ngân theo đúng quy định.</w:t>
      </w:r>
    </w:p>
    <w:p w:rsidR="004B2BEB" w:rsidRPr="004B2BEB" w:rsidRDefault="004B2BEB" w:rsidP="004B2BEB">
      <w:pPr>
        <w:pStyle w:val="Heading2"/>
        <w:shd w:val="clear" w:color="auto" w:fill="FFFFFF"/>
        <w:spacing w:before="0" w:beforeAutospacing="0" w:after="0" w:afterAutospacing="0" w:line="405" w:lineRule="atLeast"/>
        <w:ind w:firstLine="567"/>
        <w:jc w:val="both"/>
        <w:rPr>
          <w:color w:val="000000" w:themeColor="text1"/>
          <w:sz w:val="28"/>
          <w:szCs w:val="28"/>
        </w:rPr>
      </w:pPr>
      <w:r w:rsidRPr="004B2BEB">
        <w:rPr>
          <w:rStyle w:val="Strong"/>
          <w:b/>
          <w:bCs/>
          <w:color w:val="000000" w:themeColor="text1"/>
          <w:sz w:val="28"/>
          <w:szCs w:val="28"/>
        </w:rPr>
        <w:t>7. Cơ chế chia sẻ phần tăng, giảm doanh thu</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So với dự thảo được trình trước đó, Điều 84 Luật này đã chốt phương án thực hiện cơ chế chia sẻ phần tăng, giảm doanh thu như sau:</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Khi doanh thu thực tế đạt cao hơn 125% mức doanh thu trong phương án tài chính tại hợp đồng dự án PPP, Nhà đầu tư, doanh nghiệp dự án PPP chia sẻ với Nhà nước 50% phần tăng thu giữa doanh thu thực tế đó và doanh thu đạt ở mức 125% doanh thu trong phương án tài chính.</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 Nhà nước chia sẻ với nhà đầu tư, doanh nghiệp dự án PPP 50% phần giảm thu giữa doanh thu thực tế và doanh thu cam kết tại hợp đồng đối với dự án PPP đáp ứng được một số điều kiện nhất định.</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Đây được đánh giá là một cơ chế mới, đặc biệt quan trọng trong quá trình thực hiện dự án PPP.</w:t>
      </w:r>
    </w:p>
    <w:p w:rsidR="004B2BEB" w:rsidRPr="004B2BEB" w:rsidRDefault="004B2BEB" w:rsidP="004B2BEB">
      <w:pPr>
        <w:pStyle w:val="NormalWeb"/>
        <w:shd w:val="clear" w:color="auto" w:fill="FFFFFF"/>
        <w:spacing w:before="0" w:beforeAutospacing="0" w:after="0" w:afterAutospacing="0" w:line="360" w:lineRule="atLeast"/>
        <w:ind w:firstLine="567"/>
        <w:jc w:val="both"/>
        <w:rPr>
          <w:color w:val="000000" w:themeColor="text1"/>
          <w:sz w:val="28"/>
          <w:szCs w:val="28"/>
        </w:rPr>
      </w:pPr>
      <w:r w:rsidRPr="004B2BEB">
        <w:rPr>
          <w:color w:val="000000" w:themeColor="text1"/>
          <w:sz w:val="28"/>
          <w:szCs w:val="28"/>
        </w:rPr>
        <w:t>Trên đây là một số điểm nổi bật của Luật Đầu tư theo phương thức đối tác công tư.</w:t>
      </w:r>
    </w:p>
    <w:p w:rsidR="004B2BEB" w:rsidRPr="004B2BEB" w:rsidRDefault="004B2BEB" w:rsidP="004B2BEB">
      <w:pPr>
        <w:pStyle w:val="Heading1"/>
        <w:shd w:val="clear" w:color="auto" w:fill="FFFFFF"/>
        <w:spacing w:before="150" w:beforeAutospacing="0" w:after="150" w:afterAutospacing="0" w:line="450" w:lineRule="atLeast"/>
        <w:rPr>
          <w:b w:val="0"/>
          <w:bCs w:val="0"/>
          <w:color w:val="000000" w:themeColor="text1"/>
          <w:sz w:val="28"/>
          <w:szCs w:val="28"/>
        </w:rPr>
      </w:pPr>
    </w:p>
    <w:p w:rsidR="00AD4D92" w:rsidRPr="004B2BEB" w:rsidRDefault="00AD4D92" w:rsidP="007A31CE">
      <w:pPr>
        <w:pStyle w:val="NormalWeb"/>
        <w:shd w:val="clear" w:color="auto" w:fill="FFFFFF"/>
        <w:spacing w:before="0" w:beforeAutospacing="0" w:after="0" w:afterAutospacing="0" w:line="375" w:lineRule="atLeast"/>
        <w:jc w:val="both"/>
        <w:rPr>
          <w:color w:val="000000" w:themeColor="text1"/>
          <w:sz w:val="28"/>
          <w:szCs w:val="28"/>
        </w:rPr>
      </w:pPr>
      <w:bookmarkStart w:id="0" w:name="_GoBack"/>
      <w:bookmarkEnd w:id="0"/>
    </w:p>
    <w:sectPr w:rsidR="00AD4D92" w:rsidRPr="004B2BEB" w:rsidSect="00304786">
      <w:headerReference w:type="default" r:id="rId1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164" w:rsidRDefault="005C0164" w:rsidP="009C3174">
      <w:pPr>
        <w:spacing w:after="0" w:line="240" w:lineRule="auto"/>
      </w:pPr>
      <w:r>
        <w:separator/>
      </w:r>
    </w:p>
  </w:endnote>
  <w:endnote w:type="continuationSeparator" w:id="0">
    <w:p w:rsidR="005C0164" w:rsidRDefault="005C0164" w:rsidP="009C3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164" w:rsidRDefault="005C0164" w:rsidP="009C3174">
      <w:pPr>
        <w:spacing w:after="0" w:line="240" w:lineRule="auto"/>
      </w:pPr>
      <w:r>
        <w:separator/>
      </w:r>
    </w:p>
  </w:footnote>
  <w:footnote w:type="continuationSeparator" w:id="0">
    <w:p w:rsidR="005C0164" w:rsidRDefault="005C0164" w:rsidP="009C31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33724"/>
      <w:docPartObj>
        <w:docPartGallery w:val="Page Numbers (Top of Page)"/>
        <w:docPartUnique/>
      </w:docPartObj>
    </w:sdtPr>
    <w:sdtEndPr>
      <w:rPr>
        <w:noProof/>
      </w:rPr>
    </w:sdtEndPr>
    <w:sdtContent>
      <w:p w:rsidR="009C3174" w:rsidRDefault="009C3174">
        <w:pPr>
          <w:pStyle w:val="Header"/>
          <w:jc w:val="center"/>
        </w:pPr>
        <w:r w:rsidRPr="009C3174">
          <w:rPr>
            <w:rFonts w:ascii="Times New Roman" w:hAnsi="Times New Roman" w:cs="Times New Roman"/>
            <w:sz w:val="28"/>
            <w:szCs w:val="28"/>
          </w:rPr>
          <w:fldChar w:fldCharType="begin"/>
        </w:r>
        <w:r w:rsidRPr="009C3174">
          <w:rPr>
            <w:rFonts w:ascii="Times New Roman" w:hAnsi="Times New Roman" w:cs="Times New Roman"/>
            <w:sz w:val="28"/>
            <w:szCs w:val="28"/>
          </w:rPr>
          <w:instrText xml:space="preserve"> PAGE   \* MERGEFORMAT </w:instrText>
        </w:r>
        <w:r w:rsidRPr="009C3174">
          <w:rPr>
            <w:rFonts w:ascii="Times New Roman" w:hAnsi="Times New Roman" w:cs="Times New Roman"/>
            <w:sz w:val="28"/>
            <w:szCs w:val="28"/>
          </w:rPr>
          <w:fldChar w:fldCharType="separate"/>
        </w:r>
        <w:r w:rsidR="0062004C">
          <w:rPr>
            <w:rFonts w:ascii="Times New Roman" w:hAnsi="Times New Roman" w:cs="Times New Roman"/>
            <w:noProof/>
            <w:sz w:val="28"/>
            <w:szCs w:val="28"/>
          </w:rPr>
          <w:t>22</w:t>
        </w:r>
        <w:r w:rsidRPr="009C3174">
          <w:rPr>
            <w:rFonts w:ascii="Times New Roman" w:hAnsi="Times New Roman" w:cs="Times New Roman"/>
            <w:noProof/>
            <w:sz w:val="28"/>
            <w:szCs w:val="28"/>
          </w:rPr>
          <w:fldChar w:fldCharType="end"/>
        </w:r>
      </w:p>
    </w:sdtContent>
  </w:sdt>
  <w:p w:rsidR="009C3174" w:rsidRDefault="009C31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19B"/>
    <w:rsid w:val="000D1DB9"/>
    <w:rsid w:val="001A61A9"/>
    <w:rsid w:val="001C682F"/>
    <w:rsid w:val="002125C1"/>
    <w:rsid w:val="00257D90"/>
    <w:rsid w:val="002741BC"/>
    <w:rsid w:val="002E6145"/>
    <w:rsid w:val="00304786"/>
    <w:rsid w:val="00366FFA"/>
    <w:rsid w:val="004B2BEB"/>
    <w:rsid w:val="00523B93"/>
    <w:rsid w:val="00532E83"/>
    <w:rsid w:val="0056475E"/>
    <w:rsid w:val="00590BA6"/>
    <w:rsid w:val="005A5EC5"/>
    <w:rsid w:val="005C0164"/>
    <w:rsid w:val="0062004C"/>
    <w:rsid w:val="007A31CE"/>
    <w:rsid w:val="007B2798"/>
    <w:rsid w:val="007B6233"/>
    <w:rsid w:val="007C319B"/>
    <w:rsid w:val="007E0663"/>
    <w:rsid w:val="00812BF5"/>
    <w:rsid w:val="008910D2"/>
    <w:rsid w:val="00976BD5"/>
    <w:rsid w:val="009B1B5F"/>
    <w:rsid w:val="009C3174"/>
    <w:rsid w:val="009D39CF"/>
    <w:rsid w:val="00A33F84"/>
    <w:rsid w:val="00A4461E"/>
    <w:rsid w:val="00AA2441"/>
    <w:rsid w:val="00AD4D92"/>
    <w:rsid w:val="00B43CCB"/>
    <w:rsid w:val="00C035E9"/>
    <w:rsid w:val="00F50E24"/>
    <w:rsid w:val="00FD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39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D39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39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39CF"/>
    <w:rPr>
      <w:color w:val="0000FF"/>
      <w:u w:val="single"/>
    </w:rPr>
  </w:style>
  <w:style w:type="character" w:customStyle="1" w:styleId="Heading1Char">
    <w:name w:val="Heading 1 Char"/>
    <w:basedOn w:val="DefaultParagraphFont"/>
    <w:link w:val="Heading1"/>
    <w:uiPriority w:val="9"/>
    <w:rsid w:val="009D39C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D39CF"/>
    <w:rPr>
      <w:rFonts w:ascii="Times New Roman" w:eastAsia="Times New Roman" w:hAnsi="Times New Roman" w:cs="Times New Roman"/>
      <w:b/>
      <w:bCs/>
      <w:sz w:val="36"/>
      <w:szCs w:val="36"/>
    </w:rPr>
  </w:style>
  <w:style w:type="character" w:styleId="Strong">
    <w:name w:val="Strong"/>
    <w:basedOn w:val="DefaultParagraphFont"/>
    <w:uiPriority w:val="22"/>
    <w:qFormat/>
    <w:rsid w:val="009D39CF"/>
    <w:rPr>
      <w:b/>
      <w:bCs/>
    </w:rPr>
  </w:style>
  <w:style w:type="character" w:styleId="Emphasis">
    <w:name w:val="Emphasis"/>
    <w:basedOn w:val="DefaultParagraphFont"/>
    <w:uiPriority w:val="20"/>
    <w:qFormat/>
    <w:rsid w:val="009D39CF"/>
    <w:rPr>
      <w:i/>
      <w:iCs/>
    </w:rPr>
  </w:style>
  <w:style w:type="paragraph" w:styleId="Header">
    <w:name w:val="header"/>
    <w:basedOn w:val="Normal"/>
    <w:link w:val="HeaderChar"/>
    <w:uiPriority w:val="99"/>
    <w:unhideWhenUsed/>
    <w:rsid w:val="009C3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174"/>
  </w:style>
  <w:style w:type="paragraph" w:styleId="Footer">
    <w:name w:val="footer"/>
    <w:basedOn w:val="Normal"/>
    <w:link w:val="FooterChar"/>
    <w:uiPriority w:val="99"/>
    <w:unhideWhenUsed/>
    <w:rsid w:val="009C3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1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39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D39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39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39CF"/>
    <w:rPr>
      <w:color w:val="0000FF"/>
      <w:u w:val="single"/>
    </w:rPr>
  </w:style>
  <w:style w:type="character" w:customStyle="1" w:styleId="Heading1Char">
    <w:name w:val="Heading 1 Char"/>
    <w:basedOn w:val="DefaultParagraphFont"/>
    <w:link w:val="Heading1"/>
    <w:uiPriority w:val="9"/>
    <w:rsid w:val="009D39C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D39CF"/>
    <w:rPr>
      <w:rFonts w:ascii="Times New Roman" w:eastAsia="Times New Roman" w:hAnsi="Times New Roman" w:cs="Times New Roman"/>
      <w:b/>
      <w:bCs/>
      <w:sz w:val="36"/>
      <w:szCs w:val="36"/>
    </w:rPr>
  </w:style>
  <w:style w:type="character" w:styleId="Strong">
    <w:name w:val="Strong"/>
    <w:basedOn w:val="DefaultParagraphFont"/>
    <w:uiPriority w:val="22"/>
    <w:qFormat/>
    <w:rsid w:val="009D39CF"/>
    <w:rPr>
      <w:b/>
      <w:bCs/>
    </w:rPr>
  </w:style>
  <w:style w:type="character" w:styleId="Emphasis">
    <w:name w:val="Emphasis"/>
    <w:basedOn w:val="DefaultParagraphFont"/>
    <w:uiPriority w:val="20"/>
    <w:qFormat/>
    <w:rsid w:val="009D39CF"/>
    <w:rPr>
      <w:i/>
      <w:iCs/>
    </w:rPr>
  </w:style>
  <w:style w:type="paragraph" w:styleId="Header">
    <w:name w:val="header"/>
    <w:basedOn w:val="Normal"/>
    <w:link w:val="HeaderChar"/>
    <w:uiPriority w:val="99"/>
    <w:unhideWhenUsed/>
    <w:rsid w:val="009C3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174"/>
  </w:style>
  <w:style w:type="paragraph" w:styleId="Footer">
    <w:name w:val="footer"/>
    <w:basedOn w:val="Normal"/>
    <w:link w:val="FooterChar"/>
    <w:uiPriority w:val="99"/>
    <w:unhideWhenUsed/>
    <w:rsid w:val="009C3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741">
      <w:bodyDiv w:val="1"/>
      <w:marLeft w:val="0"/>
      <w:marRight w:val="0"/>
      <w:marTop w:val="0"/>
      <w:marBottom w:val="0"/>
      <w:divBdr>
        <w:top w:val="none" w:sz="0" w:space="0" w:color="auto"/>
        <w:left w:val="none" w:sz="0" w:space="0" w:color="auto"/>
        <w:bottom w:val="none" w:sz="0" w:space="0" w:color="auto"/>
        <w:right w:val="none" w:sz="0" w:space="0" w:color="auto"/>
      </w:divBdr>
    </w:div>
    <w:div w:id="3946188">
      <w:bodyDiv w:val="1"/>
      <w:marLeft w:val="0"/>
      <w:marRight w:val="0"/>
      <w:marTop w:val="0"/>
      <w:marBottom w:val="0"/>
      <w:divBdr>
        <w:top w:val="none" w:sz="0" w:space="0" w:color="auto"/>
        <w:left w:val="none" w:sz="0" w:space="0" w:color="auto"/>
        <w:bottom w:val="none" w:sz="0" w:space="0" w:color="auto"/>
        <w:right w:val="none" w:sz="0" w:space="0" w:color="auto"/>
      </w:divBdr>
    </w:div>
    <w:div w:id="19823212">
      <w:bodyDiv w:val="1"/>
      <w:marLeft w:val="0"/>
      <w:marRight w:val="0"/>
      <w:marTop w:val="0"/>
      <w:marBottom w:val="0"/>
      <w:divBdr>
        <w:top w:val="none" w:sz="0" w:space="0" w:color="auto"/>
        <w:left w:val="none" w:sz="0" w:space="0" w:color="auto"/>
        <w:bottom w:val="none" w:sz="0" w:space="0" w:color="auto"/>
        <w:right w:val="none" w:sz="0" w:space="0" w:color="auto"/>
      </w:divBdr>
    </w:div>
    <w:div w:id="74086771">
      <w:bodyDiv w:val="1"/>
      <w:marLeft w:val="0"/>
      <w:marRight w:val="0"/>
      <w:marTop w:val="0"/>
      <w:marBottom w:val="0"/>
      <w:divBdr>
        <w:top w:val="none" w:sz="0" w:space="0" w:color="auto"/>
        <w:left w:val="none" w:sz="0" w:space="0" w:color="auto"/>
        <w:bottom w:val="none" w:sz="0" w:space="0" w:color="auto"/>
        <w:right w:val="none" w:sz="0" w:space="0" w:color="auto"/>
      </w:divBdr>
    </w:div>
    <w:div w:id="142623884">
      <w:bodyDiv w:val="1"/>
      <w:marLeft w:val="0"/>
      <w:marRight w:val="0"/>
      <w:marTop w:val="0"/>
      <w:marBottom w:val="0"/>
      <w:divBdr>
        <w:top w:val="none" w:sz="0" w:space="0" w:color="auto"/>
        <w:left w:val="none" w:sz="0" w:space="0" w:color="auto"/>
        <w:bottom w:val="none" w:sz="0" w:space="0" w:color="auto"/>
        <w:right w:val="none" w:sz="0" w:space="0" w:color="auto"/>
      </w:divBdr>
    </w:div>
    <w:div w:id="155609882">
      <w:bodyDiv w:val="1"/>
      <w:marLeft w:val="0"/>
      <w:marRight w:val="0"/>
      <w:marTop w:val="0"/>
      <w:marBottom w:val="0"/>
      <w:divBdr>
        <w:top w:val="none" w:sz="0" w:space="0" w:color="auto"/>
        <w:left w:val="none" w:sz="0" w:space="0" w:color="auto"/>
        <w:bottom w:val="none" w:sz="0" w:space="0" w:color="auto"/>
        <w:right w:val="none" w:sz="0" w:space="0" w:color="auto"/>
      </w:divBdr>
    </w:div>
    <w:div w:id="165290004">
      <w:bodyDiv w:val="1"/>
      <w:marLeft w:val="0"/>
      <w:marRight w:val="0"/>
      <w:marTop w:val="0"/>
      <w:marBottom w:val="0"/>
      <w:divBdr>
        <w:top w:val="none" w:sz="0" w:space="0" w:color="auto"/>
        <w:left w:val="none" w:sz="0" w:space="0" w:color="auto"/>
        <w:bottom w:val="none" w:sz="0" w:space="0" w:color="auto"/>
        <w:right w:val="none" w:sz="0" w:space="0" w:color="auto"/>
      </w:divBdr>
    </w:div>
    <w:div w:id="175971738">
      <w:bodyDiv w:val="1"/>
      <w:marLeft w:val="0"/>
      <w:marRight w:val="0"/>
      <w:marTop w:val="0"/>
      <w:marBottom w:val="0"/>
      <w:divBdr>
        <w:top w:val="none" w:sz="0" w:space="0" w:color="auto"/>
        <w:left w:val="none" w:sz="0" w:space="0" w:color="auto"/>
        <w:bottom w:val="none" w:sz="0" w:space="0" w:color="auto"/>
        <w:right w:val="none" w:sz="0" w:space="0" w:color="auto"/>
      </w:divBdr>
    </w:div>
    <w:div w:id="188684839">
      <w:bodyDiv w:val="1"/>
      <w:marLeft w:val="0"/>
      <w:marRight w:val="0"/>
      <w:marTop w:val="0"/>
      <w:marBottom w:val="0"/>
      <w:divBdr>
        <w:top w:val="none" w:sz="0" w:space="0" w:color="auto"/>
        <w:left w:val="none" w:sz="0" w:space="0" w:color="auto"/>
        <w:bottom w:val="none" w:sz="0" w:space="0" w:color="auto"/>
        <w:right w:val="none" w:sz="0" w:space="0" w:color="auto"/>
      </w:divBdr>
    </w:div>
    <w:div w:id="240144011">
      <w:bodyDiv w:val="1"/>
      <w:marLeft w:val="0"/>
      <w:marRight w:val="0"/>
      <w:marTop w:val="0"/>
      <w:marBottom w:val="0"/>
      <w:divBdr>
        <w:top w:val="none" w:sz="0" w:space="0" w:color="auto"/>
        <w:left w:val="none" w:sz="0" w:space="0" w:color="auto"/>
        <w:bottom w:val="none" w:sz="0" w:space="0" w:color="auto"/>
        <w:right w:val="none" w:sz="0" w:space="0" w:color="auto"/>
      </w:divBdr>
    </w:div>
    <w:div w:id="395788537">
      <w:bodyDiv w:val="1"/>
      <w:marLeft w:val="0"/>
      <w:marRight w:val="0"/>
      <w:marTop w:val="0"/>
      <w:marBottom w:val="0"/>
      <w:divBdr>
        <w:top w:val="none" w:sz="0" w:space="0" w:color="auto"/>
        <w:left w:val="none" w:sz="0" w:space="0" w:color="auto"/>
        <w:bottom w:val="none" w:sz="0" w:space="0" w:color="auto"/>
        <w:right w:val="none" w:sz="0" w:space="0" w:color="auto"/>
      </w:divBdr>
    </w:div>
    <w:div w:id="433136943">
      <w:bodyDiv w:val="1"/>
      <w:marLeft w:val="0"/>
      <w:marRight w:val="0"/>
      <w:marTop w:val="0"/>
      <w:marBottom w:val="0"/>
      <w:divBdr>
        <w:top w:val="none" w:sz="0" w:space="0" w:color="auto"/>
        <w:left w:val="none" w:sz="0" w:space="0" w:color="auto"/>
        <w:bottom w:val="none" w:sz="0" w:space="0" w:color="auto"/>
        <w:right w:val="none" w:sz="0" w:space="0" w:color="auto"/>
      </w:divBdr>
    </w:div>
    <w:div w:id="441653794">
      <w:bodyDiv w:val="1"/>
      <w:marLeft w:val="0"/>
      <w:marRight w:val="0"/>
      <w:marTop w:val="0"/>
      <w:marBottom w:val="0"/>
      <w:divBdr>
        <w:top w:val="none" w:sz="0" w:space="0" w:color="auto"/>
        <w:left w:val="none" w:sz="0" w:space="0" w:color="auto"/>
        <w:bottom w:val="none" w:sz="0" w:space="0" w:color="auto"/>
        <w:right w:val="none" w:sz="0" w:space="0" w:color="auto"/>
      </w:divBdr>
    </w:div>
    <w:div w:id="507912368">
      <w:bodyDiv w:val="1"/>
      <w:marLeft w:val="0"/>
      <w:marRight w:val="0"/>
      <w:marTop w:val="0"/>
      <w:marBottom w:val="0"/>
      <w:divBdr>
        <w:top w:val="none" w:sz="0" w:space="0" w:color="auto"/>
        <w:left w:val="none" w:sz="0" w:space="0" w:color="auto"/>
        <w:bottom w:val="none" w:sz="0" w:space="0" w:color="auto"/>
        <w:right w:val="none" w:sz="0" w:space="0" w:color="auto"/>
      </w:divBdr>
    </w:div>
    <w:div w:id="527793773">
      <w:bodyDiv w:val="1"/>
      <w:marLeft w:val="0"/>
      <w:marRight w:val="0"/>
      <w:marTop w:val="0"/>
      <w:marBottom w:val="0"/>
      <w:divBdr>
        <w:top w:val="none" w:sz="0" w:space="0" w:color="auto"/>
        <w:left w:val="none" w:sz="0" w:space="0" w:color="auto"/>
        <w:bottom w:val="none" w:sz="0" w:space="0" w:color="auto"/>
        <w:right w:val="none" w:sz="0" w:space="0" w:color="auto"/>
      </w:divBdr>
      <w:divsChild>
        <w:div w:id="845286505">
          <w:marLeft w:val="0"/>
          <w:marRight w:val="0"/>
          <w:marTop w:val="0"/>
          <w:marBottom w:val="0"/>
          <w:divBdr>
            <w:top w:val="none" w:sz="0" w:space="0" w:color="auto"/>
            <w:left w:val="none" w:sz="0" w:space="0" w:color="auto"/>
            <w:bottom w:val="none" w:sz="0" w:space="0" w:color="auto"/>
            <w:right w:val="none" w:sz="0" w:space="0" w:color="auto"/>
          </w:divBdr>
          <w:divsChild>
            <w:div w:id="1728799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77642252">
      <w:bodyDiv w:val="1"/>
      <w:marLeft w:val="0"/>
      <w:marRight w:val="0"/>
      <w:marTop w:val="0"/>
      <w:marBottom w:val="0"/>
      <w:divBdr>
        <w:top w:val="none" w:sz="0" w:space="0" w:color="auto"/>
        <w:left w:val="none" w:sz="0" w:space="0" w:color="auto"/>
        <w:bottom w:val="none" w:sz="0" w:space="0" w:color="auto"/>
        <w:right w:val="none" w:sz="0" w:space="0" w:color="auto"/>
      </w:divBdr>
    </w:div>
    <w:div w:id="581449895">
      <w:bodyDiv w:val="1"/>
      <w:marLeft w:val="0"/>
      <w:marRight w:val="0"/>
      <w:marTop w:val="0"/>
      <w:marBottom w:val="0"/>
      <w:divBdr>
        <w:top w:val="none" w:sz="0" w:space="0" w:color="auto"/>
        <w:left w:val="none" w:sz="0" w:space="0" w:color="auto"/>
        <w:bottom w:val="none" w:sz="0" w:space="0" w:color="auto"/>
        <w:right w:val="none" w:sz="0" w:space="0" w:color="auto"/>
      </w:divBdr>
    </w:div>
    <w:div w:id="582883577">
      <w:bodyDiv w:val="1"/>
      <w:marLeft w:val="0"/>
      <w:marRight w:val="0"/>
      <w:marTop w:val="0"/>
      <w:marBottom w:val="0"/>
      <w:divBdr>
        <w:top w:val="none" w:sz="0" w:space="0" w:color="auto"/>
        <w:left w:val="none" w:sz="0" w:space="0" w:color="auto"/>
        <w:bottom w:val="none" w:sz="0" w:space="0" w:color="auto"/>
        <w:right w:val="none" w:sz="0" w:space="0" w:color="auto"/>
      </w:divBdr>
    </w:div>
    <w:div w:id="649939168">
      <w:bodyDiv w:val="1"/>
      <w:marLeft w:val="0"/>
      <w:marRight w:val="0"/>
      <w:marTop w:val="0"/>
      <w:marBottom w:val="0"/>
      <w:divBdr>
        <w:top w:val="none" w:sz="0" w:space="0" w:color="auto"/>
        <w:left w:val="none" w:sz="0" w:space="0" w:color="auto"/>
        <w:bottom w:val="none" w:sz="0" w:space="0" w:color="auto"/>
        <w:right w:val="none" w:sz="0" w:space="0" w:color="auto"/>
      </w:divBdr>
    </w:div>
    <w:div w:id="666327463">
      <w:bodyDiv w:val="1"/>
      <w:marLeft w:val="0"/>
      <w:marRight w:val="0"/>
      <w:marTop w:val="0"/>
      <w:marBottom w:val="0"/>
      <w:divBdr>
        <w:top w:val="none" w:sz="0" w:space="0" w:color="auto"/>
        <w:left w:val="none" w:sz="0" w:space="0" w:color="auto"/>
        <w:bottom w:val="none" w:sz="0" w:space="0" w:color="auto"/>
        <w:right w:val="none" w:sz="0" w:space="0" w:color="auto"/>
      </w:divBdr>
    </w:div>
    <w:div w:id="668019283">
      <w:bodyDiv w:val="1"/>
      <w:marLeft w:val="0"/>
      <w:marRight w:val="0"/>
      <w:marTop w:val="0"/>
      <w:marBottom w:val="0"/>
      <w:divBdr>
        <w:top w:val="none" w:sz="0" w:space="0" w:color="auto"/>
        <w:left w:val="none" w:sz="0" w:space="0" w:color="auto"/>
        <w:bottom w:val="none" w:sz="0" w:space="0" w:color="auto"/>
        <w:right w:val="none" w:sz="0" w:space="0" w:color="auto"/>
      </w:divBdr>
    </w:div>
    <w:div w:id="718556904">
      <w:bodyDiv w:val="1"/>
      <w:marLeft w:val="0"/>
      <w:marRight w:val="0"/>
      <w:marTop w:val="0"/>
      <w:marBottom w:val="0"/>
      <w:divBdr>
        <w:top w:val="none" w:sz="0" w:space="0" w:color="auto"/>
        <w:left w:val="none" w:sz="0" w:space="0" w:color="auto"/>
        <w:bottom w:val="none" w:sz="0" w:space="0" w:color="auto"/>
        <w:right w:val="none" w:sz="0" w:space="0" w:color="auto"/>
      </w:divBdr>
    </w:div>
    <w:div w:id="752749443">
      <w:bodyDiv w:val="1"/>
      <w:marLeft w:val="0"/>
      <w:marRight w:val="0"/>
      <w:marTop w:val="0"/>
      <w:marBottom w:val="0"/>
      <w:divBdr>
        <w:top w:val="none" w:sz="0" w:space="0" w:color="auto"/>
        <w:left w:val="none" w:sz="0" w:space="0" w:color="auto"/>
        <w:bottom w:val="none" w:sz="0" w:space="0" w:color="auto"/>
        <w:right w:val="none" w:sz="0" w:space="0" w:color="auto"/>
      </w:divBdr>
    </w:div>
    <w:div w:id="896432013">
      <w:bodyDiv w:val="1"/>
      <w:marLeft w:val="0"/>
      <w:marRight w:val="0"/>
      <w:marTop w:val="0"/>
      <w:marBottom w:val="0"/>
      <w:divBdr>
        <w:top w:val="none" w:sz="0" w:space="0" w:color="auto"/>
        <w:left w:val="none" w:sz="0" w:space="0" w:color="auto"/>
        <w:bottom w:val="none" w:sz="0" w:space="0" w:color="auto"/>
        <w:right w:val="none" w:sz="0" w:space="0" w:color="auto"/>
      </w:divBdr>
      <w:divsChild>
        <w:div w:id="598489624">
          <w:marLeft w:val="0"/>
          <w:marRight w:val="0"/>
          <w:marTop w:val="75"/>
          <w:marBottom w:val="0"/>
          <w:divBdr>
            <w:top w:val="none" w:sz="0" w:space="0" w:color="auto"/>
            <w:left w:val="none" w:sz="0" w:space="0" w:color="auto"/>
            <w:bottom w:val="none" w:sz="0" w:space="0" w:color="auto"/>
            <w:right w:val="none" w:sz="0" w:space="0" w:color="auto"/>
          </w:divBdr>
        </w:div>
      </w:divsChild>
    </w:div>
    <w:div w:id="960769751">
      <w:bodyDiv w:val="1"/>
      <w:marLeft w:val="0"/>
      <w:marRight w:val="0"/>
      <w:marTop w:val="0"/>
      <w:marBottom w:val="0"/>
      <w:divBdr>
        <w:top w:val="none" w:sz="0" w:space="0" w:color="auto"/>
        <w:left w:val="none" w:sz="0" w:space="0" w:color="auto"/>
        <w:bottom w:val="none" w:sz="0" w:space="0" w:color="auto"/>
        <w:right w:val="none" w:sz="0" w:space="0" w:color="auto"/>
      </w:divBdr>
    </w:div>
    <w:div w:id="962542573">
      <w:bodyDiv w:val="1"/>
      <w:marLeft w:val="0"/>
      <w:marRight w:val="0"/>
      <w:marTop w:val="0"/>
      <w:marBottom w:val="0"/>
      <w:divBdr>
        <w:top w:val="none" w:sz="0" w:space="0" w:color="auto"/>
        <w:left w:val="none" w:sz="0" w:space="0" w:color="auto"/>
        <w:bottom w:val="none" w:sz="0" w:space="0" w:color="auto"/>
        <w:right w:val="none" w:sz="0" w:space="0" w:color="auto"/>
      </w:divBdr>
    </w:div>
    <w:div w:id="970401461">
      <w:bodyDiv w:val="1"/>
      <w:marLeft w:val="0"/>
      <w:marRight w:val="0"/>
      <w:marTop w:val="0"/>
      <w:marBottom w:val="0"/>
      <w:divBdr>
        <w:top w:val="none" w:sz="0" w:space="0" w:color="auto"/>
        <w:left w:val="none" w:sz="0" w:space="0" w:color="auto"/>
        <w:bottom w:val="none" w:sz="0" w:space="0" w:color="auto"/>
        <w:right w:val="none" w:sz="0" w:space="0" w:color="auto"/>
      </w:divBdr>
    </w:div>
    <w:div w:id="1123038332">
      <w:bodyDiv w:val="1"/>
      <w:marLeft w:val="0"/>
      <w:marRight w:val="0"/>
      <w:marTop w:val="0"/>
      <w:marBottom w:val="0"/>
      <w:divBdr>
        <w:top w:val="none" w:sz="0" w:space="0" w:color="auto"/>
        <w:left w:val="none" w:sz="0" w:space="0" w:color="auto"/>
        <w:bottom w:val="none" w:sz="0" w:space="0" w:color="auto"/>
        <w:right w:val="none" w:sz="0" w:space="0" w:color="auto"/>
      </w:divBdr>
    </w:div>
    <w:div w:id="1123157438">
      <w:bodyDiv w:val="1"/>
      <w:marLeft w:val="0"/>
      <w:marRight w:val="0"/>
      <w:marTop w:val="0"/>
      <w:marBottom w:val="0"/>
      <w:divBdr>
        <w:top w:val="none" w:sz="0" w:space="0" w:color="auto"/>
        <w:left w:val="none" w:sz="0" w:space="0" w:color="auto"/>
        <w:bottom w:val="none" w:sz="0" w:space="0" w:color="auto"/>
        <w:right w:val="none" w:sz="0" w:space="0" w:color="auto"/>
      </w:divBdr>
    </w:div>
    <w:div w:id="1151680802">
      <w:bodyDiv w:val="1"/>
      <w:marLeft w:val="0"/>
      <w:marRight w:val="0"/>
      <w:marTop w:val="0"/>
      <w:marBottom w:val="0"/>
      <w:divBdr>
        <w:top w:val="none" w:sz="0" w:space="0" w:color="auto"/>
        <w:left w:val="none" w:sz="0" w:space="0" w:color="auto"/>
        <w:bottom w:val="none" w:sz="0" w:space="0" w:color="auto"/>
        <w:right w:val="none" w:sz="0" w:space="0" w:color="auto"/>
      </w:divBdr>
    </w:div>
    <w:div w:id="1191187390">
      <w:bodyDiv w:val="1"/>
      <w:marLeft w:val="0"/>
      <w:marRight w:val="0"/>
      <w:marTop w:val="0"/>
      <w:marBottom w:val="0"/>
      <w:divBdr>
        <w:top w:val="none" w:sz="0" w:space="0" w:color="auto"/>
        <w:left w:val="none" w:sz="0" w:space="0" w:color="auto"/>
        <w:bottom w:val="none" w:sz="0" w:space="0" w:color="auto"/>
        <w:right w:val="none" w:sz="0" w:space="0" w:color="auto"/>
      </w:divBdr>
    </w:div>
    <w:div w:id="1221867545">
      <w:bodyDiv w:val="1"/>
      <w:marLeft w:val="0"/>
      <w:marRight w:val="0"/>
      <w:marTop w:val="0"/>
      <w:marBottom w:val="0"/>
      <w:divBdr>
        <w:top w:val="none" w:sz="0" w:space="0" w:color="auto"/>
        <w:left w:val="none" w:sz="0" w:space="0" w:color="auto"/>
        <w:bottom w:val="none" w:sz="0" w:space="0" w:color="auto"/>
        <w:right w:val="none" w:sz="0" w:space="0" w:color="auto"/>
      </w:divBdr>
    </w:div>
    <w:div w:id="1245070502">
      <w:bodyDiv w:val="1"/>
      <w:marLeft w:val="0"/>
      <w:marRight w:val="0"/>
      <w:marTop w:val="0"/>
      <w:marBottom w:val="0"/>
      <w:divBdr>
        <w:top w:val="none" w:sz="0" w:space="0" w:color="auto"/>
        <w:left w:val="none" w:sz="0" w:space="0" w:color="auto"/>
        <w:bottom w:val="none" w:sz="0" w:space="0" w:color="auto"/>
        <w:right w:val="none" w:sz="0" w:space="0" w:color="auto"/>
      </w:divBdr>
    </w:div>
    <w:div w:id="1251617296">
      <w:bodyDiv w:val="1"/>
      <w:marLeft w:val="0"/>
      <w:marRight w:val="0"/>
      <w:marTop w:val="0"/>
      <w:marBottom w:val="0"/>
      <w:divBdr>
        <w:top w:val="none" w:sz="0" w:space="0" w:color="auto"/>
        <w:left w:val="none" w:sz="0" w:space="0" w:color="auto"/>
        <w:bottom w:val="none" w:sz="0" w:space="0" w:color="auto"/>
        <w:right w:val="none" w:sz="0" w:space="0" w:color="auto"/>
      </w:divBdr>
    </w:div>
    <w:div w:id="1266423991">
      <w:bodyDiv w:val="1"/>
      <w:marLeft w:val="0"/>
      <w:marRight w:val="0"/>
      <w:marTop w:val="0"/>
      <w:marBottom w:val="0"/>
      <w:divBdr>
        <w:top w:val="none" w:sz="0" w:space="0" w:color="auto"/>
        <w:left w:val="none" w:sz="0" w:space="0" w:color="auto"/>
        <w:bottom w:val="none" w:sz="0" w:space="0" w:color="auto"/>
        <w:right w:val="none" w:sz="0" w:space="0" w:color="auto"/>
      </w:divBdr>
    </w:div>
    <w:div w:id="1284119734">
      <w:bodyDiv w:val="1"/>
      <w:marLeft w:val="0"/>
      <w:marRight w:val="0"/>
      <w:marTop w:val="0"/>
      <w:marBottom w:val="0"/>
      <w:divBdr>
        <w:top w:val="none" w:sz="0" w:space="0" w:color="auto"/>
        <w:left w:val="none" w:sz="0" w:space="0" w:color="auto"/>
        <w:bottom w:val="none" w:sz="0" w:space="0" w:color="auto"/>
        <w:right w:val="none" w:sz="0" w:space="0" w:color="auto"/>
      </w:divBdr>
    </w:div>
    <w:div w:id="1290011910">
      <w:bodyDiv w:val="1"/>
      <w:marLeft w:val="0"/>
      <w:marRight w:val="0"/>
      <w:marTop w:val="0"/>
      <w:marBottom w:val="0"/>
      <w:divBdr>
        <w:top w:val="none" w:sz="0" w:space="0" w:color="auto"/>
        <w:left w:val="none" w:sz="0" w:space="0" w:color="auto"/>
        <w:bottom w:val="none" w:sz="0" w:space="0" w:color="auto"/>
        <w:right w:val="none" w:sz="0" w:space="0" w:color="auto"/>
      </w:divBdr>
    </w:div>
    <w:div w:id="1355689788">
      <w:bodyDiv w:val="1"/>
      <w:marLeft w:val="0"/>
      <w:marRight w:val="0"/>
      <w:marTop w:val="0"/>
      <w:marBottom w:val="0"/>
      <w:divBdr>
        <w:top w:val="none" w:sz="0" w:space="0" w:color="auto"/>
        <w:left w:val="none" w:sz="0" w:space="0" w:color="auto"/>
        <w:bottom w:val="none" w:sz="0" w:space="0" w:color="auto"/>
        <w:right w:val="none" w:sz="0" w:space="0" w:color="auto"/>
      </w:divBdr>
    </w:div>
    <w:div w:id="1425884615">
      <w:bodyDiv w:val="1"/>
      <w:marLeft w:val="0"/>
      <w:marRight w:val="0"/>
      <w:marTop w:val="0"/>
      <w:marBottom w:val="0"/>
      <w:divBdr>
        <w:top w:val="none" w:sz="0" w:space="0" w:color="auto"/>
        <w:left w:val="none" w:sz="0" w:space="0" w:color="auto"/>
        <w:bottom w:val="none" w:sz="0" w:space="0" w:color="auto"/>
        <w:right w:val="none" w:sz="0" w:space="0" w:color="auto"/>
      </w:divBdr>
    </w:div>
    <w:div w:id="1476607902">
      <w:bodyDiv w:val="1"/>
      <w:marLeft w:val="0"/>
      <w:marRight w:val="0"/>
      <w:marTop w:val="0"/>
      <w:marBottom w:val="0"/>
      <w:divBdr>
        <w:top w:val="none" w:sz="0" w:space="0" w:color="auto"/>
        <w:left w:val="none" w:sz="0" w:space="0" w:color="auto"/>
        <w:bottom w:val="none" w:sz="0" w:space="0" w:color="auto"/>
        <w:right w:val="none" w:sz="0" w:space="0" w:color="auto"/>
      </w:divBdr>
    </w:div>
    <w:div w:id="1638951917">
      <w:bodyDiv w:val="1"/>
      <w:marLeft w:val="0"/>
      <w:marRight w:val="0"/>
      <w:marTop w:val="0"/>
      <w:marBottom w:val="0"/>
      <w:divBdr>
        <w:top w:val="none" w:sz="0" w:space="0" w:color="auto"/>
        <w:left w:val="none" w:sz="0" w:space="0" w:color="auto"/>
        <w:bottom w:val="none" w:sz="0" w:space="0" w:color="auto"/>
        <w:right w:val="none" w:sz="0" w:space="0" w:color="auto"/>
      </w:divBdr>
    </w:div>
    <w:div w:id="1661350894">
      <w:bodyDiv w:val="1"/>
      <w:marLeft w:val="0"/>
      <w:marRight w:val="0"/>
      <w:marTop w:val="0"/>
      <w:marBottom w:val="0"/>
      <w:divBdr>
        <w:top w:val="none" w:sz="0" w:space="0" w:color="auto"/>
        <w:left w:val="none" w:sz="0" w:space="0" w:color="auto"/>
        <w:bottom w:val="none" w:sz="0" w:space="0" w:color="auto"/>
        <w:right w:val="none" w:sz="0" w:space="0" w:color="auto"/>
      </w:divBdr>
    </w:div>
    <w:div w:id="1675571103">
      <w:bodyDiv w:val="1"/>
      <w:marLeft w:val="0"/>
      <w:marRight w:val="0"/>
      <w:marTop w:val="0"/>
      <w:marBottom w:val="0"/>
      <w:divBdr>
        <w:top w:val="none" w:sz="0" w:space="0" w:color="auto"/>
        <w:left w:val="none" w:sz="0" w:space="0" w:color="auto"/>
        <w:bottom w:val="none" w:sz="0" w:space="0" w:color="auto"/>
        <w:right w:val="none" w:sz="0" w:space="0" w:color="auto"/>
      </w:divBdr>
    </w:div>
    <w:div w:id="1689868711">
      <w:bodyDiv w:val="1"/>
      <w:marLeft w:val="0"/>
      <w:marRight w:val="0"/>
      <w:marTop w:val="0"/>
      <w:marBottom w:val="0"/>
      <w:divBdr>
        <w:top w:val="none" w:sz="0" w:space="0" w:color="auto"/>
        <w:left w:val="none" w:sz="0" w:space="0" w:color="auto"/>
        <w:bottom w:val="none" w:sz="0" w:space="0" w:color="auto"/>
        <w:right w:val="none" w:sz="0" w:space="0" w:color="auto"/>
      </w:divBdr>
    </w:div>
    <w:div w:id="1766224758">
      <w:bodyDiv w:val="1"/>
      <w:marLeft w:val="0"/>
      <w:marRight w:val="0"/>
      <w:marTop w:val="0"/>
      <w:marBottom w:val="0"/>
      <w:divBdr>
        <w:top w:val="none" w:sz="0" w:space="0" w:color="auto"/>
        <w:left w:val="none" w:sz="0" w:space="0" w:color="auto"/>
        <w:bottom w:val="none" w:sz="0" w:space="0" w:color="auto"/>
        <w:right w:val="none" w:sz="0" w:space="0" w:color="auto"/>
      </w:divBdr>
    </w:div>
    <w:div w:id="1776903714">
      <w:bodyDiv w:val="1"/>
      <w:marLeft w:val="0"/>
      <w:marRight w:val="0"/>
      <w:marTop w:val="0"/>
      <w:marBottom w:val="0"/>
      <w:divBdr>
        <w:top w:val="none" w:sz="0" w:space="0" w:color="auto"/>
        <w:left w:val="none" w:sz="0" w:space="0" w:color="auto"/>
        <w:bottom w:val="none" w:sz="0" w:space="0" w:color="auto"/>
        <w:right w:val="none" w:sz="0" w:space="0" w:color="auto"/>
      </w:divBdr>
    </w:div>
    <w:div w:id="1812751646">
      <w:bodyDiv w:val="1"/>
      <w:marLeft w:val="0"/>
      <w:marRight w:val="0"/>
      <w:marTop w:val="0"/>
      <w:marBottom w:val="0"/>
      <w:divBdr>
        <w:top w:val="none" w:sz="0" w:space="0" w:color="auto"/>
        <w:left w:val="none" w:sz="0" w:space="0" w:color="auto"/>
        <w:bottom w:val="none" w:sz="0" w:space="0" w:color="auto"/>
        <w:right w:val="none" w:sz="0" w:space="0" w:color="auto"/>
      </w:divBdr>
    </w:div>
    <w:div w:id="1866821137">
      <w:bodyDiv w:val="1"/>
      <w:marLeft w:val="0"/>
      <w:marRight w:val="0"/>
      <w:marTop w:val="0"/>
      <w:marBottom w:val="0"/>
      <w:divBdr>
        <w:top w:val="none" w:sz="0" w:space="0" w:color="auto"/>
        <w:left w:val="none" w:sz="0" w:space="0" w:color="auto"/>
        <w:bottom w:val="none" w:sz="0" w:space="0" w:color="auto"/>
        <w:right w:val="none" w:sz="0" w:space="0" w:color="auto"/>
      </w:divBdr>
    </w:div>
    <w:div w:id="1932620391">
      <w:bodyDiv w:val="1"/>
      <w:marLeft w:val="0"/>
      <w:marRight w:val="0"/>
      <w:marTop w:val="0"/>
      <w:marBottom w:val="0"/>
      <w:divBdr>
        <w:top w:val="none" w:sz="0" w:space="0" w:color="auto"/>
        <w:left w:val="none" w:sz="0" w:space="0" w:color="auto"/>
        <w:bottom w:val="none" w:sz="0" w:space="0" w:color="auto"/>
        <w:right w:val="none" w:sz="0" w:space="0" w:color="auto"/>
      </w:divBdr>
    </w:div>
    <w:div w:id="1932733206">
      <w:bodyDiv w:val="1"/>
      <w:marLeft w:val="0"/>
      <w:marRight w:val="0"/>
      <w:marTop w:val="0"/>
      <w:marBottom w:val="0"/>
      <w:divBdr>
        <w:top w:val="none" w:sz="0" w:space="0" w:color="auto"/>
        <w:left w:val="none" w:sz="0" w:space="0" w:color="auto"/>
        <w:bottom w:val="none" w:sz="0" w:space="0" w:color="auto"/>
        <w:right w:val="none" w:sz="0" w:space="0" w:color="auto"/>
      </w:divBdr>
    </w:div>
    <w:div w:id="1971202513">
      <w:bodyDiv w:val="1"/>
      <w:marLeft w:val="0"/>
      <w:marRight w:val="0"/>
      <w:marTop w:val="0"/>
      <w:marBottom w:val="0"/>
      <w:divBdr>
        <w:top w:val="none" w:sz="0" w:space="0" w:color="auto"/>
        <w:left w:val="none" w:sz="0" w:space="0" w:color="auto"/>
        <w:bottom w:val="none" w:sz="0" w:space="0" w:color="auto"/>
        <w:right w:val="none" w:sz="0" w:space="0" w:color="auto"/>
      </w:divBdr>
    </w:div>
    <w:div w:id="2000770173">
      <w:bodyDiv w:val="1"/>
      <w:marLeft w:val="0"/>
      <w:marRight w:val="0"/>
      <w:marTop w:val="0"/>
      <w:marBottom w:val="0"/>
      <w:divBdr>
        <w:top w:val="none" w:sz="0" w:space="0" w:color="auto"/>
        <w:left w:val="none" w:sz="0" w:space="0" w:color="auto"/>
        <w:bottom w:val="none" w:sz="0" w:space="0" w:color="auto"/>
        <w:right w:val="none" w:sz="0" w:space="0" w:color="auto"/>
      </w:divBdr>
    </w:div>
    <w:div w:id="2014185085">
      <w:bodyDiv w:val="1"/>
      <w:marLeft w:val="0"/>
      <w:marRight w:val="0"/>
      <w:marTop w:val="0"/>
      <w:marBottom w:val="0"/>
      <w:divBdr>
        <w:top w:val="none" w:sz="0" w:space="0" w:color="auto"/>
        <w:left w:val="none" w:sz="0" w:space="0" w:color="auto"/>
        <w:bottom w:val="none" w:sz="0" w:space="0" w:color="auto"/>
        <w:right w:val="none" w:sz="0" w:space="0" w:color="auto"/>
      </w:divBdr>
    </w:div>
    <w:div w:id="2028821929">
      <w:bodyDiv w:val="1"/>
      <w:marLeft w:val="0"/>
      <w:marRight w:val="0"/>
      <w:marTop w:val="0"/>
      <w:marBottom w:val="0"/>
      <w:divBdr>
        <w:top w:val="none" w:sz="0" w:space="0" w:color="auto"/>
        <w:left w:val="none" w:sz="0" w:space="0" w:color="auto"/>
        <w:bottom w:val="none" w:sz="0" w:space="0" w:color="auto"/>
        <w:right w:val="none" w:sz="0" w:space="0" w:color="auto"/>
      </w:divBdr>
    </w:div>
    <w:div w:id="2053991659">
      <w:bodyDiv w:val="1"/>
      <w:marLeft w:val="0"/>
      <w:marRight w:val="0"/>
      <w:marTop w:val="0"/>
      <w:marBottom w:val="0"/>
      <w:divBdr>
        <w:top w:val="none" w:sz="0" w:space="0" w:color="auto"/>
        <w:left w:val="none" w:sz="0" w:space="0" w:color="auto"/>
        <w:bottom w:val="none" w:sz="0" w:space="0" w:color="auto"/>
        <w:right w:val="none" w:sz="0" w:space="0" w:color="auto"/>
      </w:divBdr>
    </w:div>
    <w:div w:id="2060086532">
      <w:bodyDiv w:val="1"/>
      <w:marLeft w:val="0"/>
      <w:marRight w:val="0"/>
      <w:marTop w:val="0"/>
      <w:marBottom w:val="0"/>
      <w:divBdr>
        <w:top w:val="none" w:sz="0" w:space="0" w:color="auto"/>
        <w:left w:val="none" w:sz="0" w:space="0" w:color="auto"/>
        <w:bottom w:val="none" w:sz="0" w:space="0" w:color="auto"/>
        <w:right w:val="none" w:sz="0" w:space="0" w:color="auto"/>
      </w:divBdr>
    </w:div>
    <w:div w:id="2106261977">
      <w:bodyDiv w:val="1"/>
      <w:marLeft w:val="0"/>
      <w:marRight w:val="0"/>
      <w:marTop w:val="0"/>
      <w:marBottom w:val="0"/>
      <w:divBdr>
        <w:top w:val="none" w:sz="0" w:space="0" w:color="auto"/>
        <w:left w:val="none" w:sz="0" w:space="0" w:color="auto"/>
        <w:bottom w:val="none" w:sz="0" w:space="0" w:color="auto"/>
        <w:right w:val="none" w:sz="0" w:space="0" w:color="auto"/>
      </w:divBdr>
      <w:divsChild>
        <w:div w:id="190421844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908224847">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21169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tuc-to-tung/Luat-giam-dinh-tu-phap-sua-doi-422707.aspx" TargetMode="External"/><Relationship Id="rId13" Type="http://schemas.openxmlformats.org/officeDocument/2006/relationships/hyperlink" Target="https://trangtinphapluat.com/blog/bai-viet-hay/vuong-mac-phap-luat/xu-ly-cong-trinh-duoc-mien-giay-phep-xay-dung-nhu-the-nao-cho-dung/" TargetMode="External"/><Relationship Id="rId18" Type="http://schemas.openxmlformats.org/officeDocument/2006/relationships/hyperlink" Target="https://luatvietnam.vn/co-cau-to-chuc/luat-to-chuc-quoc-hoi-91371-d1.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huvienphapluat.vn/van-ban/thu-tuc-to-tung/Luat-Hoa-giai-doi-thoai-tai-Toa-an-395767.aspx" TargetMode="External"/><Relationship Id="rId12" Type="http://schemas.openxmlformats.org/officeDocument/2006/relationships/hyperlink" Target="https://trangtinphapluat.com/blog/bai-viet-hay/gioi-thieu-van-ban-moi/quy-dinh-ve-xac-dinh-bi-mat-nha-nuoc/" TargetMode="External"/><Relationship Id="rId17" Type="http://schemas.openxmlformats.org/officeDocument/2006/relationships/hyperlink" Target="https://luatvietnam.vn/hanh-chinh/luat-ban-hanh-van-ban-quy-pham-phap-luat-2015-96364-d1.html" TargetMode="External"/><Relationship Id="rId2" Type="http://schemas.microsoft.com/office/2007/relationships/stylesWithEffects" Target="stylesWithEffects.xml"/><Relationship Id="rId16" Type="http://schemas.openxmlformats.org/officeDocument/2006/relationships/hyperlink" Target="https://trangtinphapluat.com/blog/hoi-dap-phap-luat/xay-dung-cong-trinh-o-nong-tho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huvienphapluat.vn/van-ban/Xay-dung-Do-thi/Luat-de-dieu-2006-79-2006-QH11-15872.aspx" TargetMode="External"/><Relationship Id="rId5" Type="http://schemas.openxmlformats.org/officeDocument/2006/relationships/footnotes" Target="footnotes.xml"/><Relationship Id="rId15" Type="http://schemas.openxmlformats.org/officeDocument/2006/relationships/hyperlink" Target="https://trangtinphapluat.com/blog/bai-viet-hay/lap-phap/quy-dinh-moi-ve-cap-giay-phep-xay-dung-nha-o-rieng-le-nong-thon/" TargetMode="External"/><Relationship Id="rId10" Type="http://schemas.openxmlformats.org/officeDocument/2006/relationships/hyperlink" Target="https://thuvienphapluat.vn/van-ban/Van-hoa-Xa-hoi/Luat-phong-chong-thien-tai-nam-2013-197310.asp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uatvietnam.vn/doanh-nghiep/luat-doanh-nghiep-2014-91359-d1.html" TargetMode="External"/><Relationship Id="rId14" Type="http://schemas.openxmlformats.org/officeDocument/2006/relationships/hyperlink" Target="https://trangtinphapluat.com/blog/bai-viet-hay/vuong-mac-phap-luat/nhung-han-che-bat-cap-cua-phap-luat-ve-bao-ve-moi-tru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22</Pages>
  <Words>8226</Words>
  <Characters>46892</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2020-07-03T00:51:00Z</dcterms:created>
  <dcterms:modified xsi:type="dcterms:W3CDTF">2319-08-04T07:03:00Z</dcterms:modified>
</cp:coreProperties>
</file>