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0" w:type="dxa"/>
        <w:tblInd w:w="-432" w:type="dxa"/>
        <w:tblLook w:val="01E0"/>
      </w:tblPr>
      <w:tblGrid>
        <w:gridCol w:w="4509"/>
        <w:gridCol w:w="5971"/>
      </w:tblGrid>
      <w:tr w:rsidR="00BA2591" w:rsidRPr="00962EDD" w:rsidTr="00C91694">
        <w:tc>
          <w:tcPr>
            <w:tcW w:w="4509" w:type="dxa"/>
          </w:tcPr>
          <w:p w:rsidR="00BA2591" w:rsidRPr="00962EDD" w:rsidRDefault="00BA2591" w:rsidP="009D12EC">
            <w:pPr>
              <w:spacing w:after="0" w:line="340" w:lineRule="atLeast"/>
              <w:jc w:val="center"/>
              <w:rPr>
                <w:sz w:val="26"/>
              </w:rPr>
            </w:pPr>
            <w:r w:rsidRPr="00962EDD">
              <w:rPr>
                <w:sz w:val="26"/>
              </w:rPr>
              <w:t>UBND HUYỆN TAM ĐƯỜNG</w:t>
            </w:r>
          </w:p>
          <w:p w:rsidR="00BA2591" w:rsidRPr="00962EDD" w:rsidRDefault="00BA2591" w:rsidP="009D12EC">
            <w:pPr>
              <w:spacing w:after="0" w:line="340" w:lineRule="atLeast"/>
              <w:jc w:val="center"/>
              <w:rPr>
                <w:b/>
                <w:szCs w:val="28"/>
              </w:rPr>
            </w:pPr>
            <w:r w:rsidRPr="00962EDD">
              <w:rPr>
                <w:b/>
                <w:sz w:val="26"/>
                <w:szCs w:val="28"/>
              </w:rPr>
              <w:t>HỘI ĐỒNG PHỐI HỢP PHỔ BIẾN GIÁO DỤC PHÁP LUẬT</w:t>
            </w:r>
          </w:p>
        </w:tc>
        <w:tc>
          <w:tcPr>
            <w:tcW w:w="5971" w:type="dxa"/>
          </w:tcPr>
          <w:p w:rsidR="00BA2591" w:rsidRPr="00962EDD" w:rsidRDefault="00BA2591" w:rsidP="009D12EC">
            <w:pPr>
              <w:spacing w:after="0" w:line="340" w:lineRule="atLeast"/>
              <w:jc w:val="center"/>
              <w:rPr>
                <w:b/>
                <w:sz w:val="26"/>
              </w:rPr>
            </w:pPr>
            <w:r w:rsidRPr="00962EDD">
              <w:rPr>
                <w:b/>
                <w:sz w:val="26"/>
              </w:rPr>
              <w:t xml:space="preserve">CỘNG HÒA XÃ HỘI CHỦ NGHĨA VIỆT </w:t>
            </w:r>
            <w:smartTag w:uri="urn:schemas-microsoft-com:office:smarttags" w:element="country-region">
              <w:smartTag w:uri="urn:schemas-microsoft-com:office:smarttags" w:element="place">
                <w:r w:rsidRPr="00962EDD">
                  <w:rPr>
                    <w:b/>
                    <w:sz w:val="26"/>
                  </w:rPr>
                  <w:t>NAM</w:t>
                </w:r>
              </w:smartTag>
            </w:smartTag>
          </w:p>
          <w:p w:rsidR="00BA2591" w:rsidRPr="00962EDD" w:rsidRDefault="00BA2591" w:rsidP="009D12EC">
            <w:pPr>
              <w:spacing w:after="0" w:line="340" w:lineRule="atLeast"/>
              <w:jc w:val="center"/>
            </w:pPr>
            <w:r>
              <w:rPr>
                <w:noProof/>
              </w:rPr>
              <w:pict>
                <v:line id="_x0000_s1026" style="position:absolute;left:0;text-align:left;z-index:251657728" from="56.2pt,18.7pt" to="217.6pt,18.7pt"/>
              </w:pict>
            </w:r>
            <w:r w:rsidRPr="00962EDD">
              <w:rPr>
                <w:b/>
              </w:rPr>
              <w:t>Độc lập - Tự do - Hạnh phúc</w:t>
            </w:r>
          </w:p>
        </w:tc>
      </w:tr>
      <w:tr w:rsidR="00BA2591" w:rsidRPr="00962EDD" w:rsidTr="00C91694">
        <w:tc>
          <w:tcPr>
            <w:tcW w:w="4509" w:type="dxa"/>
          </w:tcPr>
          <w:p w:rsidR="00BA2591" w:rsidRPr="00962EDD" w:rsidRDefault="00BA2591" w:rsidP="00867B70">
            <w:pPr>
              <w:spacing w:before="120" w:after="120" w:line="320" w:lineRule="atLeast"/>
              <w:jc w:val="center"/>
            </w:pPr>
            <w:r>
              <w:rPr>
                <w:noProof/>
              </w:rPr>
              <w:pict>
                <v:line id="_x0000_s1027" style="position:absolute;left:0;text-align:left;z-index:251656704;mso-position-horizontal-relative:text;mso-position-vertical-relative:text" from="70.2pt,1.5pt" to="138.6pt,1.5pt"/>
              </w:pict>
            </w:r>
            <w:r w:rsidRPr="00962EDD">
              <w:t xml:space="preserve">Số:   </w:t>
            </w:r>
            <w:r w:rsidRPr="00A47330">
              <w:rPr>
                <w:b/>
              </w:rPr>
              <w:t xml:space="preserve">11 </w:t>
            </w:r>
            <w:r w:rsidRPr="00962EDD">
              <w:t xml:space="preserve">  /HĐPH</w:t>
            </w:r>
          </w:p>
          <w:p w:rsidR="00BA2591" w:rsidRPr="00962EDD" w:rsidRDefault="00BA2591" w:rsidP="00867B70">
            <w:pPr>
              <w:spacing w:before="120" w:after="120" w:line="320" w:lineRule="atLeast"/>
              <w:jc w:val="center"/>
            </w:pPr>
            <w:r w:rsidRPr="00962EDD">
              <w:t>Về việc tăng cường công tác tuyên truyền, phổ biến giáo dục pháp luật về phòng, chống dịch bệnh Covid-19</w:t>
            </w:r>
          </w:p>
        </w:tc>
        <w:tc>
          <w:tcPr>
            <w:tcW w:w="5971" w:type="dxa"/>
          </w:tcPr>
          <w:p w:rsidR="00BA2591" w:rsidRPr="00962EDD" w:rsidRDefault="00BA2591" w:rsidP="00D66279">
            <w:pPr>
              <w:spacing w:before="120" w:line="320" w:lineRule="atLeast"/>
              <w:jc w:val="center"/>
              <w:rPr>
                <w:i/>
              </w:rPr>
            </w:pPr>
            <w:r w:rsidRPr="00962EDD">
              <w:rPr>
                <w:i/>
              </w:rPr>
              <w:t xml:space="preserve">Tam Đường, ngày   </w:t>
            </w:r>
            <w:r>
              <w:rPr>
                <w:i/>
              </w:rPr>
              <w:t>07</w:t>
            </w:r>
            <w:r w:rsidRPr="00962EDD">
              <w:rPr>
                <w:i/>
              </w:rPr>
              <w:t xml:space="preserve">  tháng  </w:t>
            </w:r>
            <w:r>
              <w:rPr>
                <w:i/>
              </w:rPr>
              <w:t>4</w:t>
            </w:r>
            <w:r w:rsidRPr="00962EDD">
              <w:rPr>
                <w:i/>
              </w:rPr>
              <w:t xml:space="preserve">  năm 2020</w:t>
            </w:r>
          </w:p>
        </w:tc>
      </w:tr>
    </w:tbl>
    <w:p w:rsidR="00BA2591" w:rsidRDefault="00BA2591" w:rsidP="00352AE0">
      <w:pPr>
        <w:tabs>
          <w:tab w:val="left" w:pos="720"/>
          <w:tab w:val="left" w:pos="1440"/>
          <w:tab w:val="left" w:pos="2160"/>
        </w:tabs>
        <w:spacing w:after="0" w:line="260" w:lineRule="atLeast"/>
        <w:rPr>
          <w:szCs w:val="28"/>
        </w:rPr>
      </w:pPr>
      <w:r w:rsidRPr="00ED0A20">
        <w:rPr>
          <w:szCs w:val="28"/>
        </w:rPr>
        <w:tab/>
      </w:r>
      <w:r w:rsidRPr="00ED0A20">
        <w:rPr>
          <w:szCs w:val="28"/>
        </w:rPr>
        <w:tab/>
        <w:t>Kính gửi:</w:t>
      </w:r>
      <w:r>
        <w:rPr>
          <w:szCs w:val="28"/>
        </w:rPr>
        <w:t xml:space="preserve">    - Các cơ quan, ban, ngành, đoàn thể huyện;</w:t>
      </w:r>
    </w:p>
    <w:p w:rsidR="00BA2591" w:rsidRDefault="00BA2591" w:rsidP="00352AE0">
      <w:pPr>
        <w:tabs>
          <w:tab w:val="left" w:pos="720"/>
          <w:tab w:val="left" w:pos="1440"/>
          <w:tab w:val="left" w:pos="2160"/>
        </w:tabs>
        <w:spacing w:after="0" w:line="260" w:lineRule="atLeast"/>
        <w:rPr>
          <w:szCs w:val="28"/>
        </w:rPr>
      </w:pPr>
      <w:r>
        <w:rPr>
          <w:szCs w:val="28"/>
        </w:rPr>
        <w:tab/>
      </w:r>
      <w:r>
        <w:rPr>
          <w:szCs w:val="28"/>
        </w:rPr>
        <w:tab/>
      </w:r>
      <w:r>
        <w:rPr>
          <w:szCs w:val="28"/>
        </w:rPr>
        <w:tab/>
      </w:r>
      <w:r>
        <w:rPr>
          <w:szCs w:val="28"/>
        </w:rPr>
        <w:tab/>
        <w:t>- UBND các xã, thị trấn;</w:t>
      </w:r>
    </w:p>
    <w:p w:rsidR="00BA2591" w:rsidRDefault="00BA2591" w:rsidP="00352AE0">
      <w:pPr>
        <w:tabs>
          <w:tab w:val="left" w:pos="720"/>
          <w:tab w:val="left" w:pos="1440"/>
          <w:tab w:val="left" w:pos="2160"/>
        </w:tabs>
        <w:spacing w:after="0" w:line="260" w:lineRule="atLeast"/>
        <w:rPr>
          <w:szCs w:val="28"/>
        </w:rPr>
      </w:pPr>
      <w:r>
        <w:rPr>
          <w:szCs w:val="28"/>
        </w:rPr>
        <w:tab/>
      </w:r>
      <w:r>
        <w:rPr>
          <w:szCs w:val="28"/>
        </w:rPr>
        <w:tab/>
      </w:r>
      <w:r>
        <w:rPr>
          <w:szCs w:val="28"/>
        </w:rPr>
        <w:tab/>
      </w:r>
      <w:r>
        <w:rPr>
          <w:szCs w:val="28"/>
        </w:rPr>
        <w:tab/>
        <w:t>- Báo cáo viên pháp luật cấp huyện;</w:t>
      </w:r>
    </w:p>
    <w:p w:rsidR="00BA2591" w:rsidRPr="00CD6FBC" w:rsidRDefault="00BA2591" w:rsidP="00FC1C7E">
      <w:pPr>
        <w:tabs>
          <w:tab w:val="left" w:pos="720"/>
          <w:tab w:val="left" w:pos="1440"/>
          <w:tab w:val="left" w:pos="2160"/>
        </w:tabs>
        <w:spacing w:after="0" w:line="320" w:lineRule="atLeast"/>
        <w:jc w:val="both"/>
        <w:rPr>
          <w:spacing w:val="-10"/>
          <w:szCs w:val="28"/>
        </w:rPr>
      </w:pPr>
      <w:r>
        <w:rPr>
          <w:szCs w:val="28"/>
        </w:rPr>
        <w:tab/>
      </w:r>
      <w:r w:rsidRPr="00CD6FBC">
        <w:rPr>
          <w:spacing w:val="-10"/>
          <w:szCs w:val="28"/>
        </w:rPr>
        <w:t>Trước tình hình dịch bệnh Covid-19 đang diễn biến phức tạp, Đảng và Nhà nước ta đã có nhiều chủ trương, chính sách, biện pháp quyết liệt để chỉ đạo các cấp, các ngành, người dân cả nước phòng, chống dịch với phương châm “chống dịch như chống giặc”.</w:t>
      </w:r>
    </w:p>
    <w:p w:rsidR="00BA2591" w:rsidRDefault="00BA2591" w:rsidP="00FC1C7E">
      <w:pPr>
        <w:tabs>
          <w:tab w:val="left" w:pos="720"/>
          <w:tab w:val="left" w:pos="1440"/>
          <w:tab w:val="left" w:pos="2160"/>
        </w:tabs>
        <w:spacing w:after="0" w:line="320" w:lineRule="atLeast"/>
        <w:jc w:val="both"/>
        <w:rPr>
          <w:szCs w:val="28"/>
        </w:rPr>
      </w:pPr>
      <w:r>
        <w:rPr>
          <w:szCs w:val="28"/>
        </w:rPr>
        <w:tab/>
        <w:t>Để nâng cao nhận thức và ý thức chấp hành pháp luật của Nhân dân trong công tác phòng, chống dịch bệnh; Hội đồng phối hợp phổ biến giáo dục pháp luật huyện đề nghị các cơ quan, ban, ngành, đoàn thể huyện; UBND các xã, thị trấn, đội ngũ báo cáo viên, tuyên truyền viên pháp luật tăng cường tuyên truyền, phổ biến các văn bản liên quan đến công tác phòng chống dịch bệnh, trong đó tập trung tuyên truyền các hành vi vi phạm, hình thức mức xử lý đối với hành vi vi phạm tới Nhân dân trên địa bàn huyện bằng các hình thức phù hợp.</w:t>
      </w:r>
    </w:p>
    <w:p w:rsidR="00BA2591" w:rsidRPr="003C6515" w:rsidRDefault="00BA2591" w:rsidP="00FC1C7E">
      <w:pPr>
        <w:tabs>
          <w:tab w:val="left" w:pos="720"/>
          <w:tab w:val="left" w:pos="1440"/>
          <w:tab w:val="left" w:pos="2160"/>
        </w:tabs>
        <w:spacing w:after="0" w:line="320" w:lineRule="atLeast"/>
        <w:jc w:val="both"/>
        <w:rPr>
          <w:i/>
          <w:szCs w:val="28"/>
        </w:rPr>
      </w:pPr>
      <w:r>
        <w:rPr>
          <w:szCs w:val="28"/>
        </w:rPr>
        <w:tab/>
        <w:t xml:space="preserve">HĐPH phổ biến giáo dục pháp luật huyện chỉ đạo cơ quan chuyên môn biên soạn ngắn gọn mức phạt một số hành vi vi phạm và hình thức xử lý làm tài liệu tuyên truyền cho các cơ quan, đơn vị, báo cáo viên pháp luật và UBND các xã, thị trấn thực hiện tuyên truyền cho Nhân dân trên địa bàn huyện. </w:t>
      </w:r>
      <w:r w:rsidRPr="003C6515">
        <w:rPr>
          <w:i/>
          <w:szCs w:val="28"/>
        </w:rPr>
        <w:t>(Có nội dung tuyên truyền kèm theo)</w:t>
      </w:r>
      <w:r>
        <w:rPr>
          <w:i/>
          <w:szCs w:val="28"/>
        </w:rPr>
        <w:t>.</w:t>
      </w:r>
    </w:p>
    <w:p w:rsidR="00BA2591" w:rsidRDefault="00BA2591" w:rsidP="00FC1C7E">
      <w:pPr>
        <w:spacing w:after="0" w:line="320" w:lineRule="atLeast"/>
        <w:jc w:val="both"/>
        <w:rPr>
          <w:spacing w:val="-8"/>
          <w:szCs w:val="28"/>
        </w:rPr>
      </w:pPr>
      <w:r>
        <w:rPr>
          <w:spacing w:val="-8"/>
          <w:szCs w:val="28"/>
        </w:rPr>
        <w:tab/>
        <w:t>Hội đồng phối hợp phổ biến giáo dục pháp luật huyện đề nghị các cơ quan, ban, ngành, đoàn thể huyện; Báo cáo viên pháp luật huyện và UBND các xã, thị trấn nghiên cứu thực hiện./.</w:t>
      </w:r>
    </w:p>
    <w:tbl>
      <w:tblPr>
        <w:tblW w:w="9781" w:type="dxa"/>
        <w:tblInd w:w="108" w:type="dxa"/>
        <w:tblLayout w:type="fixed"/>
        <w:tblLook w:val="0000"/>
      </w:tblPr>
      <w:tblGrid>
        <w:gridCol w:w="3402"/>
        <w:gridCol w:w="6379"/>
      </w:tblGrid>
      <w:tr w:rsidR="00BA2591" w:rsidRPr="00962EDD" w:rsidTr="00A702BE">
        <w:trPr>
          <w:trHeight w:val="341"/>
        </w:trPr>
        <w:tc>
          <w:tcPr>
            <w:tcW w:w="3402" w:type="dxa"/>
          </w:tcPr>
          <w:p w:rsidR="00BA2591" w:rsidRPr="00962EDD" w:rsidRDefault="00BA2591" w:rsidP="00556A27">
            <w:pPr>
              <w:spacing w:after="0" w:line="240" w:lineRule="auto"/>
              <w:jc w:val="both"/>
              <w:rPr>
                <w:b/>
                <w:bCs/>
                <w:i/>
                <w:iCs/>
              </w:rPr>
            </w:pPr>
            <w:r w:rsidRPr="00962EDD">
              <w:rPr>
                <w:b/>
                <w:bCs/>
                <w:i/>
                <w:iCs/>
              </w:rPr>
              <w:t>Nơi nhận:</w:t>
            </w:r>
          </w:p>
          <w:p w:rsidR="00BA2591" w:rsidRPr="00962EDD" w:rsidRDefault="00BA2591" w:rsidP="00556A27">
            <w:pPr>
              <w:spacing w:after="0" w:line="240" w:lineRule="auto"/>
              <w:jc w:val="both"/>
              <w:rPr>
                <w:bCs/>
                <w:iCs/>
                <w:sz w:val="26"/>
              </w:rPr>
            </w:pPr>
            <w:r w:rsidRPr="00962EDD">
              <w:rPr>
                <w:bCs/>
                <w:iCs/>
                <w:sz w:val="26"/>
              </w:rPr>
              <w:t>- Như kính gửi;</w:t>
            </w:r>
          </w:p>
          <w:p w:rsidR="00BA2591" w:rsidRPr="00962EDD" w:rsidRDefault="00BA2591" w:rsidP="00556A27">
            <w:pPr>
              <w:spacing w:after="0" w:line="240" w:lineRule="auto"/>
              <w:jc w:val="both"/>
              <w:rPr>
                <w:b/>
                <w:bCs/>
                <w:i/>
                <w:iCs/>
              </w:rPr>
            </w:pPr>
            <w:r w:rsidRPr="00962EDD">
              <w:rPr>
                <w:bCs/>
                <w:iCs/>
                <w:sz w:val="26"/>
              </w:rPr>
              <w:t>- Lưu: VT.</w:t>
            </w:r>
          </w:p>
        </w:tc>
        <w:tc>
          <w:tcPr>
            <w:tcW w:w="6379" w:type="dxa"/>
          </w:tcPr>
          <w:p w:rsidR="00BA2591" w:rsidRPr="00962EDD" w:rsidRDefault="00BA2591" w:rsidP="00A702BE">
            <w:pPr>
              <w:pStyle w:val="Heading2"/>
              <w:spacing w:before="0" w:line="240" w:lineRule="auto"/>
              <w:ind w:left="-958" w:firstLine="881"/>
              <w:jc w:val="center"/>
              <w:rPr>
                <w:rFonts w:ascii="Times New Roman" w:hAnsi="Times New Roman"/>
                <w:color w:val="auto"/>
              </w:rPr>
            </w:pPr>
            <w:r w:rsidRPr="00962EDD">
              <w:rPr>
                <w:rFonts w:ascii="Times New Roman" w:hAnsi="Times New Roman"/>
                <w:color w:val="auto"/>
              </w:rPr>
              <w:t>TM. HỘI ÐỒNG PHPBGD PHÁP LUẬT HUYỆN</w:t>
            </w:r>
          </w:p>
          <w:p w:rsidR="00BA2591" w:rsidRPr="00962EDD" w:rsidRDefault="00BA2591" w:rsidP="00556A27">
            <w:pPr>
              <w:pStyle w:val="Heading2"/>
              <w:tabs>
                <w:tab w:val="left" w:pos="1545"/>
                <w:tab w:val="center" w:pos="2332"/>
              </w:tabs>
              <w:spacing w:before="0" w:line="240" w:lineRule="auto"/>
              <w:ind w:left="-77"/>
              <w:jc w:val="center"/>
              <w:rPr>
                <w:rFonts w:ascii="Times New Roman" w:hAnsi="Times New Roman"/>
                <w:color w:val="auto"/>
              </w:rPr>
            </w:pPr>
            <w:r w:rsidRPr="00962EDD">
              <w:rPr>
                <w:rFonts w:ascii="Times New Roman" w:hAnsi="Times New Roman"/>
                <w:color w:val="auto"/>
              </w:rPr>
              <w:t>KT. CHỦ TỊCH</w:t>
            </w:r>
          </w:p>
          <w:p w:rsidR="00BA2591" w:rsidRPr="00962EDD" w:rsidRDefault="00BA2591" w:rsidP="00556A27">
            <w:pPr>
              <w:spacing w:after="0" w:line="240" w:lineRule="auto"/>
              <w:jc w:val="center"/>
              <w:rPr>
                <w:b/>
              </w:rPr>
            </w:pPr>
            <w:r w:rsidRPr="00962EDD">
              <w:rPr>
                <w:b/>
              </w:rPr>
              <w:t>PHÓ CHỦ TỊCH</w:t>
            </w:r>
          </w:p>
          <w:p w:rsidR="00BA2591" w:rsidRPr="00962EDD" w:rsidRDefault="00BA2591" w:rsidP="00556A27">
            <w:pPr>
              <w:pStyle w:val="Heading2"/>
              <w:spacing w:before="0" w:line="240" w:lineRule="auto"/>
              <w:ind w:left="-77"/>
              <w:jc w:val="center"/>
              <w:rPr>
                <w:rFonts w:ascii="Times New Roman" w:hAnsi="Times New Roman"/>
                <w:color w:val="auto"/>
              </w:rPr>
            </w:pPr>
          </w:p>
          <w:p w:rsidR="00BA2591" w:rsidRPr="00962EDD" w:rsidRDefault="00BA2591" w:rsidP="00556A27">
            <w:pPr>
              <w:spacing w:after="0" w:line="240" w:lineRule="auto"/>
            </w:pPr>
          </w:p>
          <w:p w:rsidR="00BA2591" w:rsidRDefault="00BA2591" w:rsidP="00556A27">
            <w:pPr>
              <w:spacing w:after="0" w:line="240" w:lineRule="auto"/>
            </w:pPr>
          </w:p>
          <w:p w:rsidR="00BA2591" w:rsidRPr="00962EDD" w:rsidRDefault="00BA2591" w:rsidP="00556A27">
            <w:pPr>
              <w:spacing w:after="0" w:line="240" w:lineRule="auto"/>
            </w:pPr>
          </w:p>
          <w:p w:rsidR="00BA2591" w:rsidRPr="00962EDD" w:rsidRDefault="00BA2591" w:rsidP="00556A27">
            <w:pPr>
              <w:spacing w:after="0" w:line="240" w:lineRule="auto"/>
            </w:pPr>
          </w:p>
          <w:p w:rsidR="00BA2591" w:rsidRPr="00962EDD" w:rsidRDefault="00BA2591" w:rsidP="00556A27">
            <w:pPr>
              <w:pStyle w:val="Heading2"/>
              <w:spacing w:before="0" w:line="240" w:lineRule="auto"/>
              <w:ind w:left="-77"/>
              <w:jc w:val="center"/>
              <w:rPr>
                <w:rFonts w:ascii="Times New Roman" w:hAnsi="Times New Roman"/>
                <w:color w:val="auto"/>
              </w:rPr>
            </w:pPr>
            <w:r>
              <w:rPr>
                <w:rFonts w:ascii="Times New Roman" w:hAnsi="Times New Roman"/>
                <w:color w:val="auto"/>
              </w:rPr>
              <w:t>TRƯ</w:t>
            </w:r>
            <w:r w:rsidRPr="00962EDD">
              <w:rPr>
                <w:rFonts w:ascii="Times New Roman" w:hAnsi="Times New Roman"/>
                <w:color w:val="auto"/>
              </w:rPr>
              <w:t>Ở</w:t>
            </w:r>
            <w:r>
              <w:rPr>
                <w:rFonts w:ascii="Times New Roman" w:hAnsi="Times New Roman"/>
                <w:color w:val="auto"/>
              </w:rPr>
              <w:t>NG PHÒNG TƯ</w:t>
            </w:r>
            <w:r w:rsidRPr="00962EDD">
              <w:rPr>
                <w:rFonts w:ascii="Times New Roman" w:hAnsi="Times New Roman"/>
                <w:color w:val="auto"/>
              </w:rPr>
              <w:t xml:space="preserve"> PHÁP</w:t>
            </w:r>
          </w:p>
          <w:p w:rsidR="00BA2591" w:rsidRPr="00962EDD" w:rsidRDefault="00BA2591" w:rsidP="00556A27">
            <w:pPr>
              <w:pStyle w:val="Heading2"/>
              <w:spacing w:before="0" w:line="240" w:lineRule="auto"/>
              <w:ind w:left="-77"/>
              <w:jc w:val="center"/>
              <w:rPr>
                <w:rFonts w:ascii="Times New Roman" w:hAnsi="Times New Roman"/>
                <w:color w:val="auto"/>
              </w:rPr>
            </w:pPr>
            <w:r w:rsidRPr="00962EDD">
              <w:rPr>
                <w:rFonts w:ascii="Times New Roman" w:hAnsi="Times New Roman"/>
                <w:color w:val="auto"/>
                <w:sz w:val="28"/>
              </w:rPr>
              <w:t>Nguyễn Thị Nhàn</w:t>
            </w:r>
          </w:p>
        </w:tc>
      </w:tr>
    </w:tbl>
    <w:p w:rsidR="00BA2591" w:rsidRDefault="00BA2591" w:rsidP="00004E1C">
      <w:pPr>
        <w:spacing w:after="0" w:line="240" w:lineRule="auto"/>
        <w:jc w:val="center"/>
        <w:rPr>
          <w:b/>
          <w:szCs w:val="28"/>
        </w:rPr>
      </w:pPr>
    </w:p>
    <w:p w:rsidR="00BA2591" w:rsidRDefault="00BA2591" w:rsidP="00004E1C">
      <w:pPr>
        <w:spacing w:after="0" w:line="240" w:lineRule="auto"/>
        <w:jc w:val="center"/>
        <w:rPr>
          <w:b/>
          <w:szCs w:val="28"/>
        </w:rPr>
      </w:pPr>
    </w:p>
    <w:p w:rsidR="00BA2591" w:rsidRDefault="00BA2591" w:rsidP="00004E1C">
      <w:pPr>
        <w:spacing w:after="0" w:line="240" w:lineRule="auto"/>
        <w:jc w:val="center"/>
        <w:rPr>
          <w:b/>
          <w:szCs w:val="28"/>
        </w:rPr>
      </w:pPr>
    </w:p>
    <w:p w:rsidR="00BA2591" w:rsidRDefault="00BA2591" w:rsidP="00004E1C">
      <w:pPr>
        <w:spacing w:after="0" w:line="240" w:lineRule="auto"/>
        <w:jc w:val="center"/>
        <w:rPr>
          <w:b/>
          <w:szCs w:val="28"/>
        </w:rPr>
      </w:pPr>
      <w:r>
        <w:rPr>
          <w:b/>
          <w:szCs w:val="28"/>
        </w:rPr>
        <w:t>MỨC PHẠT MỘT SỐ</w:t>
      </w:r>
      <w:r w:rsidRPr="00B075DE">
        <w:rPr>
          <w:b/>
          <w:szCs w:val="28"/>
        </w:rPr>
        <w:t xml:space="preserve"> HÀNH VI VI PHẠM QUY ĐỊNH </w:t>
      </w:r>
    </w:p>
    <w:p w:rsidR="00BA2591" w:rsidRDefault="00BA2591" w:rsidP="00004E1C">
      <w:pPr>
        <w:spacing w:after="0" w:line="240" w:lineRule="auto"/>
        <w:jc w:val="center"/>
        <w:rPr>
          <w:b/>
          <w:szCs w:val="28"/>
        </w:rPr>
      </w:pPr>
      <w:r w:rsidRPr="00B075DE">
        <w:rPr>
          <w:b/>
          <w:szCs w:val="28"/>
        </w:rPr>
        <w:t>PHÒNG CHỐNG DỊCH COVID 19</w:t>
      </w:r>
    </w:p>
    <w:p w:rsidR="00BA2591" w:rsidRDefault="00BA2591" w:rsidP="00004E1C">
      <w:pPr>
        <w:spacing w:after="0" w:line="240" w:lineRule="auto"/>
        <w:jc w:val="center"/>
        <w:rPr>
          <w:i/>
          <w:szCs w:val="28"/>
        </w:rPr>
      </w:pPr>
      <w:r>
        <w:rPr>
          <w:i/>
          <w:szCs w:val="28"/>
        </w:rPr>
        <w:t>(Kèm theo Công văn số 11 /HĐPH ngày 07 tháng 4 năm 2020</w:t>
      </w:r>
    </w:p>
    <w:p w:rsidR="00BA2591" w:rsidRDefault="00BA2591" w:rsidP="00004E1C">
      <w:pPr>
        <w:spacing w:after="0" w:line="240" w:lineRule="auto"/>
        <w:jc w:val="center"/>
        <w:rPr>
          <w:i/>
          <w:szCs w:val="28"/>
        </w:rPr>
      </w:pPr>
      <w:r>
        <w:rPr>
          <w:i/>
          <w:szCs w:val="28"/>
        </w:rPr>
        <w:t xml:space="preserve"> của Hội đồng phối hợp phổ biến giáo dục pháp luật huyện)</w:t>
      </w:r>
    </w:p>
    <w:p w:rsidR="00BA2591" w:rsidRPr="00B075DE" w:rsidRDefault="00BA2591" w:rsidP="00B075DE">
      <w:pPr>
        <w:jc w:val="center"/>
        <w:rPr>
          <w:i/>
          <w:szCs w:val="28"/>
        </w:rPr>
      </w:pPr>
      <w:r>
        <w:rPr>
          <w:noProof/>
        </w:rPr>
        <w:pict>
          <v:line id="_x0000_s1028" style="position:absolute;left:0;text-align:left;z-index:251658752" from="164.95pt,4.9pt" to="326.35pt,4.9pt"/>
        </w:pict>
      </w: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4112"/>
        <w:gridCol w:w="2551"/>
        <w:gridCol w:w="3827"/>
      </w:tblGrid>
      <w:tr w:rsidR="00BA2591" w:rsidRPr="00962EDD" w:rsidTr="00962EDD">
        <w:tc>
          <w:tcPr>
            <w:tcW w:w="567" w:type="dxa"/>
            <w:vAlign w:val="center"/>
          </w:tcPr>
          <w:p w:rsidR="00BA2591" w:rsidRPr="00962EDD" w:rsidRDefault="00BA2591" w:rsidP="00962EDD">
            <w:pPr>
              <w:pStyle w:val="NormalWeb"/>
              <w:spacing w:before="0" w:beforeAutospacing="0" w:after="421" w:afterAutospacing="0"/>
              <w:jc w:val="center"/>
              <w:textAlignment w:val="baseline"/>
              <w:rPr>
                <w:b/>
                <w:color w:val="000000"/>
                <w:sz w:val="28"/>
                <w:szCs w:val="28"/>
              </w:rPr>
            </w:pPr>
            <w:r w:rsidRPr="00962EDD">
              <w:rPr>
                <w:b/>
                <w:color w:val="000000"/>
                <w:sz w:val="28"/>
                <w:szCs w:val="28"/>
              </w:rPr>
              <w:t>STT</w:t>
            </w:r>
          </w:p>
        </w:tc>
        <w:tc>
          <w:tcPr>
            <w:tcW w:w="4112" w:type="dxa"/>
            <w:vAlign w:val="center"/>
          </w:tcPr>
          <w:p w:rsidR="00BA2591" w:rsidRPr="00962EDD" w:rsidRDefault="00BA2591" w:rsidP="00962EDD">
            <w:pPr>
              <w:pStyle w:val="NormalWeb"/>
              <w:spacing w:before="0" w:beforeAutospacing="0" w:after="421" w:afterAutospacing="0"/>
              <w:jc w:val="center"/>
              <w:textAlignment w:val="baseline"/>
              <w:rPr>
                <w:b/>
                <w:color w:val="000000"/>
                <w:sz w:val="28"/>
                <w:szCs w:val="28"/>
              </w:rPr>
            </w:pPr>
            <w:r w:rsidRPr="00962EDD">
              <w:rPr>
                <w:b/>
                <w:color w:val="000000"/>
                <w:sz w:val="28"/>
                <w:szCs w:val="28"/>
              </w:rPr>
              <w:t>CÁC HÀNH VI VI PHẠM</w:t>
            </w:r>
          </w:p>
        </w:tc>
        <w:tc>
          <w:tcPr>
            <w:tcW w:w="2551" w:type="dxa"/>
            <w:vAlign w:val="center"/>
          </w:tcPr>
          <w:p w:rsidR="00BA2591" w:rsidRPr="00962EDD" w:rsidRDefault="00BA2591" w:rsidP="00962EDD">
            <w:pPr>
              <w:pStyle w:val="NormalWeb"/>
              <w:spacing w:before="0" w:beforeAutospacing="0" w:after="421" w:afterAutospacing="0"/>
              <w:jc w:val="center"/>
              <w:textAlignment w:val="baseline"/>
              <w:rPr>
                <w:b/>
                <w:color w:val="000000"/>
                <w:sz w:val="28"/>
                <w:szCs w:val="28"/>
              </w:rPr>
            </w:pPr>
            <w:r w:rsidRPr="00962EDD">
              <w:rPr>
                <w:b/>
                <w:color w:val="000000"/>
                <w:sz w:val="28"/>
                <w:szCs w:val="28"/>
              </w:rPr>
              <w:t>MỨC PHẠT TỐI ĐA</w:t>
            </w:r>
          </w:p>
        </w:tc>
        <w:tc>
          <w:tcPr>
            <w:tcW w:w="3827" w:type="dxa"/>
            <w:vAlign w:val="center"/>
          </w:tcPr>
          <w:p w:rsidR="00BA2591" w:rsidRPr="00962EDD" w:rsidRDefault="00BA2591" w:rsidP="00962EDD">
            <w:pPr>
              <w:pStyle w:val="NormalWeb"/>
              <w:spacing w:before="0" w:beforeAutospacing="0" w:after="421" w:afterAutospacing="0"/>
              <w:jc w:val="center"/>
              <w:textAlignment w:val="baseline"/>
              <w:rPr>
                <w:b/>
                <w:color w:val="000000"/>
                <w:sz w:val="28"/>
                <w:szCs w:val="28"/>
              </w:rPr>
            </w:pPr>
            <w:r w:rsidRPr="00962EDD">
              <w:rPr>
                <w:b/>
                <w:color w:val="000000"/>
                <w:sz w:val="28"/>
                <w:szCs w:val="28"/>
              </w:rPr>
              <w:t>CĂN CỨ PHÁP LÝ</w:t>
            </w:r>
          </w:p>
        </w:tc>
      </w:tr>
      <w:tr w:rsidR="00BA2591" w:rsidRPr="00962EDD" w:rsidTr="00962EDD">
        <w:trPr>
          <w:trHeight w:val="1449"/>
        </w:trPr>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1</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Người không đeo khẩu trang nơi công cộng.</w:t>
            </w: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Phạt tiền tối đa đến 300.000 đồng.</w:t>
            </w: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Khoản 1 Điều 11 Nghị định 176/2013/NĐ-CP ngày 14/11/2013 của Chính phủ về xử phạt vi phạm hành chính trong lĩnh vực y tế</w:t>
            </w:r>
          </w:p>
        </w:tc>
      </w:tr>
      <w:tr w:rsidR="00BA2591" w:rsidRPr="00962EDD" w:rsidTr="00962EDD">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2</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xml:space="preserve">- Người vứt khẩu trang đã sử dụng không đúng nơi quy định: </w:t>
            </w:r>
          </w:p>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Tại nơi công cộng</w:t>
            </w:r>
          </w:p>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xml:space="preserve"> </w:t>
            </w:r>
          </w:p>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Nếu vứt ra vỉa hè, đường phố.</w:t>
            </w: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p>
          <w:p w:rsidR="00BA2591" w:rsidRPr="00962EDD" w:rsidRDefault="00BA2591" w:rsidP="00962EDD">
            <w:pPr>
              <w:pStyle w:val="NormalWeb"/>
              <w:spacing w:before="120" w:beforeAutospacing="0" w:after="120" w:afterAutospacing="0"/>
              <w:jc w:val="both"/>
              <w:textAlignment w:val="baseline"/>
              <w:rPr>
                <w:color w:val="000000"/>
                <w:sz w:val="28"/>
                <w:szCs w:val="28"/>
              </w:rPr>
            </w:pPr>
          </w:p>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 Phạt tiền tối đa đến 5.000.000 đồng,</w:t>
            </w:r>
          </w:p>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 Phạt tiền tối đa đến 7.000.000 đồng,</w:t>
            </w: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Điểm c, d Khoản 1 Điều 20 Nghị định 155/2016/NĐ-CP ngày 18/11/2016 của Chính phủ quy định xử phạt vi phạm hành chính trong lĩnh vực môi trường</w:t>
            </w:r>
          </w:p>
        </w:tc>
      </w:tr>
      <w:tr w:rsidR="00BA2591" w:rsidRPr="00962EDD" w:rsidTr="00962EDD">
        <w:trPr>
          <w:trHeight w:val="1403"/>
        </w:trPr>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p>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3</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xml:space="preserve">Người che giấu tình trạng bệnh của mình hoặc của người khác khi mắc bệnh COVID-19 </w:t>
            </w:r>
          </w:p>
          <w:p w:rsidR="00BA2591" w:rsidRPr="00962EDD" w:rsidRDefault="00BA2591" w:rsidP="00962EDD">
            <w:pPr>
              <w:pStyle w:val="NormalWeb"/>
              <w:spacing w:before="120" w:beforeAutospacing="0" w:after="120" w:afterAutospacing="0"/>
              <w:jc w:val="both"/>
              <w:textAlignment w:val="baseline"/>
              <w:rPr>
                <w:color w:val="000000"/>
                <w:sz w:val="28"/>
                <w:szCs w:val="28"/>
              </w:rPr>
            </w:pP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Phạt tiền tối đa đến 2.000.000 đồng</w:t>
            </w: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Điểm a Khoản 2 Điều 11 Nghị định 176/2013/NĐ-CP ngày 14/11/2013 của Chính phủ về xử phạt vi phạm hành chính trong lĩnh vực y tế</w:t>
            </w:r>
          </w:p>
        </w:tc>
      </w:tr>
      <w:tr w:rsidR="00BA2591" w:rsidRPr="00962EDD" w:rsidTr="00962EDD">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4</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xml:space="preserve">Không thực hiện quyết định áp dụng biện pháp tạm đình chỉ hoạt động của cơ sở kinh doanh dịch vụ ăn uống công cộng có nguy cơ làm lây truyền dịch bệnh tại vùng có dịch </w:t>
            </w:r>
          </w:p>
        </w:tc>
        <w:tc>
          <w:tcPr>
            <w:tcW w:w="2551"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Phạt tiền tối đa đến 10.000.000 đồng đối với cá nhân, 20.000.000 đồng đối với tổ chức.</w:t>
            </w:r>
          </w:p>
          <w:p w:rsidR="00BA2591" w:rsidRPr="00962EDD" w:rsidRDefault="00BA2591" w:rsidP="00962EDD">
            <w:pPr>
              <w:pStyle w:val="NormalWeb"/>
              <w:spacing w:before="120" w:beforeAutospacing="0" w:after="120" w:afterAutospacing="0"/>
              <w:jc w:val="both"/>
              <w:textAlignment w:val="baseline"/>
              <w:rPr>
                <w:color w:val="000000"/>
                <w:sz w:val="28"/>
                <w:szCs w:val="28"/>
              </w:rPr>
            </w:pP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Điểm a Khoản 4 Điều 11 Nghị định 176/2013/NĐ-CP ngày 14/11/2013 của Chính phủ về xử phạt vi phạm hành chính trong lĩnh vực y tế</w:t>
            </w:r>
          </w:p>
        </w:tc>
      </w:tr>
      <w:tr w:rsidR="00BA2591" w:rsidRPr="00962EDD" w:rsidTr="00962EDD">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5</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xml:space="preserve">Không thực hiện quyết định áp dụng biện pháp hạn chế tập trung đông người hoặc tạm đình chỉ hoạt động kinh doanh, dịch vụ tại nơi công cộng để phòng, chống dịch COVID-19 </w:t>
            </w: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Phạt tiền tối đa đến 10.000.000 đồng đối với cá nhân, 20.000.000 đồng đối với tổ chức.</w:t>
            </w: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Điểm c Khoản 4 Điều 11 Nghị định 176/2013/NĐ-CP ngày 14/11/2013 của Chính phủ về xử phạt vi phạm hành chính trong lĩnh vực y tế</w:t>
            </w:r>
          </w:p>
        </w:tc>
      </w:tr>
      <w:tr w:rsidR="00BA2591" w:rsidRPr="00962EDD" w:rsidTr="00962EDD">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6</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xml:space="preserve">Người không thực hiện quyết định kiểm tra, giám sát, xử lý y tế trước khi ra vào vùng có dịch </w:t>
            </w: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Phạt tiền tối đa đến 20.000.000 đồng.</w:t>
            </w: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Điểm a Khoản 5 Điều 11 Nghị định 176/2013/NĐ-CP ngày 14/11/2013 của Chính phủ về xử phạt vi phạm hành chính trong lĩnh vực y tế</w:t>
            </w:r>
          </w:p>
        </w:tc>
      </w:tr>
      <w:tr w:rsidR="00BA2591" w:rsidRPr="00962EDD" w:rsidTr="00962EDD">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7</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xml:space="preserve">Người nào trốn khỏi nơi cách ly; không tuân thủ quy định về cách ly; từ chối, trốn tránh việc áp dụng biện pháp cách ly, cưỡng chế cách ly để phòng, chống dịch COVID-19 </w:t>
            </w:r>
          </w:p>
          <w:p w:rsidR="00BA2591" w:rsidRPr="00962EDD" w:rsidRDefault="00BA2591" w:rsidP="00962EDD">
            <w:pPr>
              <w:pStyle w:val="NormalWeb"/>
              <w:spacing w:before="120" w:beforeAutospacing="0" w:after="120" w:afterAutospacing="0"/>
              <w:jc w:val="both"/>
              <w:textAlignment w:val="baseline"/>
              <w:rPr>
                <w:b/>
                <w:color w:val="000000"/>
                <w:sz w:val="28"/>
                <w:szCs w:val="28"/>
              </w:rPr>
            </w:pP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Có thể bị xử phạt hành chính tối đa đến 10 triệu đồng hoặc bị xử lý hình sự theo Điều 240 Bộ luật Hình sự trong trường hợp gây truyền dịch bệnh cho người khác.</w:t>
            </w:r>
          </w:p>
        </w:tc>
        <w:tc>
          <w:tcPr>
            <w:tcW w:w="3827" w:type="dxa"/>
          </w:tcPr>
          <w:p w:rsidR="00BA2591" w:rsidRPr="00962EDD" w:rsidRDefault="00BA2591" w:rsidP="00962EDD">
            <w:pPr>
              <w:pStyle w:val="NormalWeb"/>
              <w:spacing w:before="120" w:beforeAutospacing="0" w:after="120" w:afterAutospacing="0"/>
              <w:jc w:val="both"/>
              <w:textAlignment w:val="baseline"/>
              <w:rPr>
                <w:b/>
                <w:color w:val="000000"/>
                <w:sz w:val="28"/>
                <w:szCs w:val="28"/>
              </w:rPr>
            </w:pPr>
            <w:r w:rsidRPr="00962EDD">
              <w:rPr>
                <w:color w:val="000000"/>
                <w:sz w:val="28"/>
                <w:szCs w:val="28"/>
              </w:rPr>
              <w:t>Áp dụng theo Điểm b Khoản 2 Điều 10 Nghị định 176/2013/NĐ-CP ngày 14/11/2013 của Chính phủ về xử phạt vi phạm hành chính trong lĩnh vực y tế và Điểm 1.1 Mục 1 Công văn số 45/TANDTC-PC ngày 30/3/2020 của Hội đồng thẩm phán Tòa án nhân dân tối cao</w:t>
            </w:r>
          </w:p>
        </w:tc>
      </w:tr>
      <w:tr w:rsidR="00BA2591" w:rsidRPr="00962EDD" w:rsidTr="00962EDD">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8</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Ngườii nào trốn khỏi nơi cách ly, không tuân thủ quy định về cách ly; từ chối, trốn tránh việc áp dụng biện pháp cách ly, cưỡng chế cách ly mà làm gây thiệt hại từ 100.000.000 đồng trở lên do phát sinh chi phí phòng, chống dịch bệnh COVID-19</w:t>
            </w: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Bị xử lý theo Điều 295 Bộ luật Hình sự.</w:t>
            </w: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Điểm 1.2 Mục 1 Công văn số 45/TANDTC-PC ngày 30/3/2020 của Hội đồng thẩm phán Tòa án nhân dân tối cao</w:t>
            </w:r>
          </w:p>
        </w:tc>
      </w:tr>
      <w:tr w:rsidR="00BA2591" w:rsidRPr="00962EDD" w:rsidTr="00962EDD">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9</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xml:space="preserve">Người nào khai báo y tế, khai báo không đầy đủ hoặc khai báo gian dối gây lây truyền dịch bệnh COVID-19 cho người khác </w:t>
            </w: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Bị xử lý theo Điều 240 Bộ luật Hình sự.</w:t>
            </w: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Điểm 1.1 Mục 1 Công văn số 45/TANDTC-PC ngày 30/3/2020 của Hội đồng thẩm phán Tòa án nhân dân tối cao</w:t>
            </w:r>
          </w:p>
        </w:tc>
      </w:tr>
      <w:tr w:rsidR="00BA2591" w:rsidRPr="00962EDD" w:rsidTr="00962EDD">
        <w:trPr>
          <w:trHeight w:val="3142"/>
        </w:trPr>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10</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xml:space="preserve">Người nào đưa lên mạng máy tính, mạng viễn thông thông tin giả mạo, thông tin sai sự thật, thông tin xuyên tạc về tình hình dịch bệnh COVID-19 </w:t>
            </w:r>
          </w:p>
          <w:p w:rsidR="00BA2591" w:rsidRPr="00962EDD" w:rsidRDefault="00BA2591" w:rsidP="00962EDD">
            <w:pPr>
              <w:pStyle w:val="NormalWeb"/>
              <w:spacing w:before="120" w:beforeAutospacing="0" w:after="120" w:afterAutospacing="0"/>
              <w:jc w:val="both"/>
              <w:textAlignment w:val="baseline"/>
              <w:rPr>
                <w:color w:val="000000"/>
                <w:sz w:val="28"/>
                <w:szCs w:val="28"/>
              </w:rPr>
            </w:pP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Có thể bị phạt tiền tối đa đến 15 triệu đồng hoặc bị xử lý theo Điều 288 Bộ luật Hình sự.</w:t>
            </w: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Điểm a Khoản 3 Điều 64 Nghị định 174/2013/NĐ-CP ngày 13/11/2013 của Chính phủ về xử phạt vi phạm hành chính trong lĩnh vực bưu chính, viễn thông, công nghệ thông tin và tần số vô tuyến điện và Điểm 1.4 Mục 1 Công văn số 45/TANDTC-PC ngày 30/3/2020 của Hội đồng thẩm phán Tòa án nhân dân tối cao</w:t>
            </w:r>
          </w:p>
        </w:tc>
      </w:tr>
      <w:tr w:rsidR="00BA2591" w:rsidRPr="00962EDD" w:rsidTr="00962EDD">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11</w:t>
            </w:r>
          </w:p>
        </w:tc>
        <w:tc>
          <w:tcPr>
            <w:tcW w:w="4112"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 xml:space="preserve">Người có hành vi dùng vũ lực, đe dọa dùng vũ lực hoặc thủ đoạn khác cản trở người thi hành công vụ trong phòng, chống dịch bệnh COVID-19 </w:t>
            </w: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Bị xử lý theo Điều 330 Bộ luật Hình sự</w:t>
            </w: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Điểm 1.9 Mục 1 Công văn số 45/TANDTC-PC ngày 30/3/2020 của Hội đồng thẩm phán Tòa án nhân dân tối cao</w:t>
            </w:r>
          </w:p>
        </w:tc>
      </w:tr>
      <w:tr w:rsidR="00BA2591" w:rsidRPr="00962EDD" w:rsidTr="00962EDD">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12</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Chủ cơ sở kinh doanh, người quản lý cơ sở kinh doanh dịch vụ (như quán ba, vũ trường, karaoke, dịch vụ mát xa, cơ sở thẩm mỹ…) thực hiện hoạt động kinh doanh khi đã có quyết định tạm đình chỉ hoạt động kinh doanh để phòng chống dịch bệnh COVID-19, gây thiệt hại từ 100.000.000 đồng trở lên do phát sinh chi phí phòng, chống dịch bệnh.</w:t>
            </w: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Bị xử lý theo điều 295 Bộ luật Hình sự.</w:t>
            </w: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Điểm 1.3 Mục 1 Công văn số 45/TANDTC-PC ngày 30/3/2020 của Hội đồng thẩm phán Tòa án nhân dân tối cao</w:t>
            </w:r>
          </w:p>
        </w:tc>
      </w:tr>
      <w:tr w:rsidR="00BA2591" w:rsidRPr="00962EDD" w:rsidTr="00962EDD">
        <w:tc>
          <w:tcPr>
            <w:tcW w:w="567" w:type="dxa"/>
          </w:tcPr>
          <w:p w:rsidR="00BA2591" w:rsidRPr="00962EDD" w:rsidRDefault="00BA2591" w:rsidP="00962EDD">
            <w:pPr>
              <w:pStyle w:val="NormalWeb"/>
              <w:spacing w:before="120" w:beforeAutospacing="0" w:after="120" w:afterAutospacing="0"/>
              <w:jc w:val="center"/>
              <w:textAlignment w:val="baseline"/>
              <w:rPr>
                <w:color w:val="000000"/>
                <w:sz w:val="28"/>
                <w:szCs w:val="28"/>
              </w:rPr>
            </w:pPr>
            <w:r w:rsidRPr="00962EDD">
              <w:rPr>
                <w:color w:val="000000"/>
                <w:sz w:val="28"/>
                <w:szCs w:val="28"/>
              </w:rPr>
              <w:t>13</w:t>
            </w:r>
          </w:p>
        </w:tc>
        <w:tc>
          <w:tcPr>
            <w:tcW w:w="4112" w:type="dxa"/>
          </w:tcPr>
          <w:p w:rsidR="00BA2591" w:rsidRPr="00962EDD" w:rsidRDefault="00BA2591" w:rsidP="00962EDD">
            <w:pPr>
              <w:pStyle w:val="NormalWeb"/>
              <w:shd w:val="clear" w:color="auto" w:fill="FFFFFF"/>
              <w:spacing w:before="120" w:beforeAutospacing="0" w:after="120" w:afterAutospacing="0"/>
              <w:jc w:val="both"/>
              <w:textAlignment w:val="baseline"/>
              <w:rPr>
                <w:color w:val="000000"/>
                <w:sz w:val="28"/>
                <w:szCs w:val="28"/>
              </w:rPr>
            </w:pPr>
            <w:r w:rsidRPr="00962EDD">
              <w:rPr>
                <w:color w:val="000000"/>
                <w:sz w:val="28"/>
                <w:szCs w:val="28"/>
              </w:rPr>
              <w:t xml:space="preserve">Người có hành vi lợi dụng sự khan hiếm hoặc tạo sự khan hiếm giả tạo trong tình hình dịch bệnh COVID-19 để mua vét hàng hóa đã được cơ quan nhà nước có thẩm quyền công bố là mặt hàng bình ổn giá hoặc hàng hóa được Nhà nước định giá nhằm bán lại để thu lợi bất chính </w:t>
            </w:r>
          </w:p>
        </w:tc>
        <w:tc>
          <w:tcPr>
            <w:tcW w:w="2551"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Bị xử lý theo quy định tại điều 196 Bộ luật Hình sự.</w:t>
            </w:r>
          </w:p>
        </w:tc>
        <w:tc>
          <w:tcPr>
            <w:tcW w:w="3827" w:type="dxa"/>
          </w:tcPr>
          <w:p w:rsidR="00BA2591" w:rsidRPr="00962EDD" w:rsidRDefault="00BA2591" w:rsidP="00962EDD">
            <w:pPr>
              <w:pStyle w:val="NormalWeb"/>
              <w:spacing w:before="120" w:beforeAutospacing="0" w:after="120" w:afterAutospacing="0"/>
              <w:jc w:val="both"/>
              <w:textAlignment w:val="baseline"/>
              <w:rPr>
                <w:color w:val="000000"/>
                <w:sz w:val="28"/>
                <w:szCs w:val="28"/>
              </w:rPr>
            </w:pPr>
            <w:r w:rsidRPr="00962EDD">
              <w:rPr>
                <w:color w:val="000000"/>
                <w:sz w:val="28"/>
                <w:szCs w:val="28"/>
              </w:rPr>
              <w:t>Áp dụng theo Điểm 1.8 Mục 1 Công văn số 45/TANDTC-PC ngày 30/3/2020 của Hội đồng thẩm phán Tòa án nhân dân tối cao</w:t>
            </w:r>
          </w:p>
        </w:tc>
      </w:tr>
    </w:tbl>
    <w:p w:rsidR="00BA2591" w:rsidRPr="004C711F" w:rsidRDefault="00BA2591" w:rsidP="00FE1046">
      <w:pPr>
        <w:spacing w:before="120" w:after="120" w:line="240" w:lineRule="auto"/>
        <w:rPr>
          <w:szCs w:val="28"/>
        </w:rPr>
      </w:pPr>
    </w:p>
    <w:sectPr w:rsidR="00BA2591" w:rsidRPr="004C711F" w:rsidSect="00FE4190">
      <w:footerReference w:type="default" r:id="rId7"/>
      <w:footerReference w:type="first" r:id="rId8"/>
      <w:pgSz w:w="12240" w:h="15840"/>
      <w:pgMar w:top="851" w:right="1134" w:bottom="0" w:left="164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591" w:rsidRPr="00BF3F62" w:rsidRDefault="00BA2591" w:rsidP="00BF3F62">
      <w:pPr>
        <w:pStyle w:val="NormalWeb"/>
        <w:spacing w:before="0" w:after="0"/>
        <w:rPr>
          <w:sz w:val="28"/>
          <w:szCs w:val="22"/>
        </w:rPr>
      </w:pPr>
      <w:r>
        <w:separator/>
      </w:r>
    </w:p>
  </w:endnote>
  <w:endnote w:type="continuationSeparator" w:id="0">
    <w:p w:rsidR="00BA2591" w:rsidRPr="00BF3F62" w:rsidRDefault="00BA2591" w:rsidP="00BF3F62">
      <w:pPr>
        <w:pStyle w:val="NormalWeb"/>
        <w:spacing w:before="0" w:after="0"/>
        <w:rPr>
          <w:sz w:val="28"/>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591" w:rsidRDefault="00BA2591">
    <w:pPr>
      <w:pStyle w:val="Footer"/>
      <w:jc w:val="right"/>
    </w:pPr>
    <w:fldSimple w:instr=" PAGE   \* MERGEFORMAT ">
      <w:r>
        <w:rPr>
          <w:noProof/>
        </w:rPr>
        <w:t>2</w:t>
      </w:r>
    </w:fldSimple>
  </w:p>
  <w:p w:rsidR="00BA2591" w:rsidRDefault="00BA25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591" w:rsidRDefault="00BA2591">
    <w:pPr>
      <w:pStyle w:val="Footer"/>
      <w:jc w:val="right"/>
    </w:pPr>
  </w:p>
  <w:p w:rsidR="00BA2591" w:rsidRDefault="00BA2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591" w:rsidRPr="00BF3F62" w:rsidRDefault="00BA2591" w:rsidP="00BF3F62">
      <w:pPr>
        <w:pStyle w:val="NormalWeb"/>
        <w:spacing w:before="0" w:after="0"/>
        <w:rPr>
          <w:sz w:val="28"/>
          <w:szCs w:val="22"/>
        </w:rPr>
      </w:pPr>
      <w:r>
        <w:separator/>
      </w:r>
    </w:p>
  </w:footnote>
  <w:footnote w:type="continuationSeparator" w:id="0">
    <w:p w:rsidR="00BA2591" w:rsidRPr="00BF3F62" w:rsidRDefault="00BA2591" w:rsidP="00BF3F62">
      <w:pPr>
        <w:pStyle w:val="NormalWeb"/>
        <w:spacing w:before="0" w:after="0"/>
        <w:rPr>
          <w:sz w:val="28"/>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73D6"/>
    <w:multiLevelType w:val="hybridMultilevel"/>
    <w:tmpl w:val="07C800C0"/>
    <w:lvl w:ilvl="0" w:tplc="ADE0ED7A">
      <w:start w:val="4"/>
      <w:numFmt w:val="bullet"/>
      <w:lvlText w:val="-"/>
      <w:lvlJc w:val="left"/>
      <w:pPr>
        <w:ind w:left="3240" w:hanging="360"/>
      </w:pPr>
      <w:rPr>
        <w:rFonts w:ascii="Times New Roman" w:eastAsia="Times New Roman" w:hAnsi="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D0F"/>
    <w:rsid w:val="00000CE1"/>
    <w:rsid w:val="00004E1C"/>
    <w:rsid w:val="00012688"/>
    <w:rsid w:val="000360D5"/>
    <w:rsid w:val="000413BE"/>
    <w:rsid w:val="000D11C6"/>
    <w:rsid w:val="000F273B"/>
    <w:rsid w:val="0011333E"/>
    <w:rsid w:val="001655D1"/>
    <w:rsid w:val="00174601"/>
    <w:rsid w:val="001C705A"/>
    <w:rsid w:val="001F1467"/>
    <w:rsid w:val="002924E4"/>
    <w:rsid w:val="002B082E"/>
    <w:rsid w:val="002D742A"/>
    <w:rsid w:val="002E1D90"/>
    <w:rsid w:val="00315F30"/>
    <w:rsid w:val="003522ED"/>
    <w:rsid w:val="00352AE0"/>
    <w:rsid w:val="003B1B8B"/>
    <w:rsid w:val="003C6515"/>
    <w:rsid w:val="0045304D"/>
    <w:rsid w:val="00457F5E"/>
    <w:rsid w:val="004A3C65"/>
    <w:rsid w:val="004C6B3A"/>
    <w:rsid w:val="004C711F"/>
    <w:rsid w:val="004E1F6B"/>
    <w:rsid w:val="004F4DBD"/>
    <w:rsid w:val="00523901"/>
    <w:rsid w:val="0053259A"/>
    <w:rsid w:val="0054218D"/>
    <w:rsid w:val="0054665A"/>
    <w:rsid w:val="00556A27"/>
    <w:rsid w:val="00572419"/>
    <w:rsid w:val="00585D0F"/>
    <w:rsid w:val="00602F8F"/>
    <w:rsid w:val="006224AF"/>
    <w:rsid w:val="00627CB6"/>
    <w:rsid w:val="00630473"/>
    <w:rsid w:val="00630C8F"/>
    <w:rsid w:val="00644ED2"/>
    <w:rsid w:val="0065596D"/>
    <w:rsid w:val="006566A3"/>
    <w:rsid w:val="0067148D"/>
    <w:rsid w:val="00693481"/>
    <w:rsid w:val="00694764"/>
    <w:rsid w:val="006A5755"/>
    <w:rsid w:val="006B4FB9"/>
    <w:rsid w:val="007060CE"/>
    <w:rsid w:val="00773620"/>
    <w:rsid w:val="007B10B3"/>
    <w:rsid w:val="007B25B5"/>
    <w:rsid w:val="007B45DD"/>
    <w:rsid w:val="007E23B0"/>
    <w:rsid w:val="007E3719"/>
    <w:rsid w:val="007F49A0"/>
    <w:rsid w:val="008119B6"/>
    <w:rsid w:val="00815068"/>
    <w:rsid w:val="00856436"/>
    <w:rsid w:val="00867B70"/>
    <w:rsid w:val="008A2047"/>
    <w:rsid w:val="008D33E3"/>
    <w:rsid w:val="008E0DAF"/>
    <w:rsid w:val="009258F0"/>
    <w:rsid w:val="009362CE"/>
    <w:rsid w:val="00961647"/>
    <w:rsid w:val="009623A3"/>
    <w:rsid w:val="00962EDD"/>
    <w:rsid w:val="009725C2"/>
    <w:rsid w:val="009A4FC2"/>
    <w:rsid w:val="009D12EC"/>
    <w:rsid w:val="00A2189E"/>
    <w:rsid w:val="00A47330"/>
    <w:rsid w:val="00A702BE"/>
    <w:rsid w:val="00A7242D"/>
    <w:rsid w:val="00A825E0"/>
    <w:rsid w:val="00AB1750"/>
    <w:rsid w:val="00AC0123"/>
    <w:rsid w:val="00AF0EBD"/>
    <w:rsid w:val="00B043BA"/>
    <w:rsid w:val="00B075DE"/>
    <w:rsid w:val="00B168D1"/>
    <w:rsid w:val="00B22AE9"/>
    <w:rsid w:val="00B83BCA"/>
    <w:rsid w:val="00BA2591"/>
    <w:rsid w:val="00BD22FF"/>
    <w:rsid w:val="00BE6DEA"/>
    <w:rsid w:val="00BF3F62"/>
    <w:rsid w:val="00C27740"/>
    <w:rsid w:val="00C34D65"/>
    <w:rsid w:val="00C85D92"/>
    <w:rsid w:val="00C91694"/>
    <w:rsid w:val="00CB1D4B"/>
    <w:rsid w:val="00CD6FBC"/>
    <w:rsid w:val="00CF7FF9"/>
    <w:rsid w:val="00D163FD"/>
    <w:rsid w:val="00D34B8F"/>
    <w:rsid w:val="00D557DC"/>
    <w:rsid w:val="00D66279"/>
    <w:rsid w:val="00D915F0"/>
    <w:rsid w:val="00DB7BEB"/>
    <w:rsid w:val="00DC5D7C"/>
    <w:rsid w:val="00E17996"/>
    <w:rsid w:val="00EA1EF0"/>
    <w:rsid w:val="00EC2349"/>
    <w:rsid w:val="00ED0A20"/>
    <w:rsid w:val="00ED52C2"/>
    <w:rsid w:val="00EE3982"/>
    <w:rsid w:val="00EE53C7"/>
    <w:rsid w:val="00F41A5F"/>
    <w:rsid w:val="00F85026"/>
    <w:rsid w:val="00FA5C82"/>
    <w:rsid w:val="00FB0A8B"/>
    <w:rsid w:val="00FC1C7E"/>
    <w:rsid w:val="00FE1046"/>
    <w:rsid w:val="00FE4190"/>
    <w:rsid w:val="00FF0F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D0F"/>
    <w:pPr>
      <w:spacing w:after="200" w:line="276" w:lineRule="auto"/>
    </w:pPr>
    <w:rPr>
      <w:sz w:val="28"/>
    </w:rPr>
  </w:style>
  <w:style w:type="paragraph" w:styleId="Heading1">
    <w:name w:val="heading 1"/>
    <w:basedOn w:val="Normal"/>
    <w:link w:val="Heading1Char"/>
    <w:uiPriority w:val="99"/>
    <w:qFormat/>
    <w:rsid w:val="00B075DE"/>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9"/>
    <w:qFormat/>
    <w:rsid w:val="007B45D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75DE"/>
    <w:rPr>
      <w:rFonts w:eastAsia="Times New Roman" w:cs="Times New Roman"/>
      <w:b/>
      <w:bCs/>
      <w:kern w:val="36"/>
      <w:sz w:val="48"/>
      <w:szCs w:val="48"/>
    </w:rPr>
  </w:style>
  <w:style w:type="character" w:customStyle="1" w:styleId="Heading2Char">
    <w:name w:val="Heading 2 Char"/>
    <w:basedOn w:val="DefaultParagraphFont"/>
    <w:link w:val="Heading2"/>
    <w:uiPriority w:val="99"/>
    <w:locked/>
    <w:rsid w:val="007B45DD"/>
    <w:rPr>
      <w:rFonts w:ascii="Cambria" w:hAnsi="Cambria" w:cs="Times New Roman"/>
      <w:b/>
      <w:bCs/>
      <w:color w:val="4F81BD"/>
      <w:sz w:val="26"/>
      <w:szCs w:val="26"/>
    </w:rPr>
  </w:style>
  <w:style w:type="paragraph" w:styleId="NormalWeb">
    <w:name w:val="Normal (Web)"/>
    <w:basedOn w:val="Normal"/>
    <w:uiPriority w:val="99"/>
    <w:rsid w:val="00585D0F"/>
    <w:pPr>
      <w:spacing w:before="100" w:beforeAutospacing="1" w:after="100" w:afterAutospacing="1" w:line="240" w:lineRule="auto"/>
    </w:pPr>
    <w:rPr>
      <w:rFonts w:eastAsia="Times New Roman"/>
      <w:sz w:val="24"/>
      <w:szCs w:val="24"/>
    </w:rPr>
  </w:style>
  <w:style w:type="table" w:styleId="TableGrid">
    <w:name w:val="Table Grid"/>
    <w:basedOn w:val="TableNormal"/>
    <w:uiPriority w:val="99"/>
    <w:rsid w:val="00585D0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BF3F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F3F62"/>
    <w:rPr>
      <w:rFonts w:cs="Times New Roman"/>
    </w:rPr>
  </w:style>
  <w:style w:type="paragraph" w:styleId="Footer">
    <w:name w:val="footer"/>
    <w:basedOn w:val="Normal"/>
    <w:link w:val="FooterChar"/>
    <w:uiPriority w:val="99"/>
    <w:rsid w:val="00BF3F6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F3F62"/>
    <w:rPr>
      <w:rFonts w:cs="Times New Roman"/>
    </w:rPr>
  </w:style>
  <w:style w:type="paragraph" w:styleId="ListParagraph">
    <w:name w:val="List Paragraph"/>
    <w:basedOn w:val="Normal"/>
    <w:uiPriority w:val="99"/>
    <w:qFormat/>
    <w:rsid w:val="00EA1EF0"/>
    <w:pPr>
      <w:ind w:left="720"/>
      <w:contextualSpacing/>
    </w:pPr>
  </w:style>
</w:styles>
</file>

<file path=word/webSettings.xml><?xml version="1.0" encoding="utf-8"?>
<w:webSettings xmlns:r="http://schemas.openxmlformats.org/officeDocument/2006/relationships" xmlns:w="http://schemas.openxmlformats.org/wordprocessingml/2006/main">
  <w:divs>
    <w:div w:id="1443915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4</Pages>
  <Words>1051</Words>
  <Characters>5992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dc:creator>
  <cp:keywords/>
  <dc:description/>
  <cp:lastModifiedBy>TUPHAP</cp:lastModifiedBy>
  <cp:revision>36</cp:revision>
  <cp:lastPrinted>2020-04-07T07:33:00Z</cp:lastPrinted>
  <dcterms:created xsi:type="dcterms:W3CDTF">2020-04-06T01:05:00Z</dcterms:created>
  <dcterms:modified xsi:type="dcterms:W3CDTF">2020-04-08T03:39:00Z</dcterms:modified>
</cp:coreProperties>
</file>